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7C81" w14:textId="77777777" w:rsidR="000A181B" w:rsidRDefault="000A181B" w:rsidP="000A181B">
      <w:pPr>
        <w:pStyle w:val="paragraph"/>
        <w:spacing w:before="0" w:beforeAutospacing="0" w:after="0" w:afterAutospacing="0"/>
        <w:ind w:left="6480" w:firstLine="720"/>
        <w:jc w:val="both"/>
        <w:textAlignment w:val="baseline"/>
        <w:rPr>
          <w:rFonts w:ascii="Segoe UI" w:hAnsi="Segoe UI" w:cs="Segoe UI"/>
          <w:sz w:val="18"/>
          <w:szCs w:val="18"/>
        </w:rPr>
      </w:pPr>
      <w:r>
        <w:rPr>
          <w:rStyle w:val="eop"/>
          <w:rFonts w:ascii="Calibri" w:hAnsi="Calibri" w:cs="Calibri"/>
          <w:sz w:val="32"/>
          <w:szCs w:val="32"/>
        </w:rPr>
        <w:t> </w:t>
      </w:r>
    </w:p>
    <w:p w14:paraId="05EE2DAB" w14:textId="77777777" w:rsidR="000A181B" w:rsidRDefault="000A181B" w:rsidP="000A181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b/>
          <w:bCs/>
          <w:noProof/>
          <w:color w:val="000000"/>
        </w:rPr>
        <w:drawing>
          <wp:inline distT="0" distB="0" distL="0" distR="0" wp14:anchorId="56C143A8" wp14:editId="4F4D78B2">
            <wp:extent cx="2392680" cy="868680"/>
            <wp:effectExtent l="0" t="0" r="7620" b="7620"/>
            <wp:docPr id="1" name="Picture 1" descr="C:\Users\h.polley\AppData\Local\Microsoft\Windows\INetCache\Content.MSO\BF3607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lley\AppData\Local\Microsoft\Windows\INetCache\Content.MSO\BF36076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2680" cy="868680"/>
                    </a:xfrm>
                    <a:prstGeom prst="rect">
                      <a:avLst/>
                    </a:prstGeom>
                    <a:noFill/>
                    <a:ln>
                      <a:noFill/>
                    </a:ln>
                  </pic:spPr>
                </pic:pic>
              </a:graphicData>
            </a:graphic>
          </wp:inline>
        </w:drawing>
      </w:r>
      <w:r>
        <w:rPr>
          <w:rStyle w:val="eop"/>
          <w:rFonts w:ascii="Calibri" w:hAnsi="Calibri" w:cs="Calibri"/>
          <w:sz w:val="40"/>
          <w:szCs w:val="40"/>
        </w:rPr>
        <w:t> </w:t>
      </w:r>
    </w:p>
    <w:p w14:paraId="435EB2A3" w14:textId="22F7E478" w:rsidR="00E73690" w:rsidRDefault="00E73690" w:rsidP="000A181B">
      <w:pPr>
        <w:pStyle w:val="paragraph"/>
        <w:spacing w:before="0" w:beforeAutospacing="0" w:after="0" w:afterAutospacing="0"/>
        <w:textAlignment w:val="baseline"/>
        <w:rPr>
          <w:rFonts w:ascii="Segoe UI" w:hAnsi="Segoe UI" w:cs="Segoe UI"/>
          <w:sz w:val="18"/>
          <w:szCs w:val="18"/>
        </w:rPr>
      </w:pPr>
    </w:p>
    <w:p w14:paraId="1B048D7D" w14:textId="18B4A93D" w:rsidR="00E73690" w:rsidRDefault="00E73690" w:rsidP="000A181B">
      <w:pPr>
        <w:pStyle w:val="paragraph"/>
        <w:spacing w:before="0" w:beforeAutospacing="0" w:after="0" w:afterAutospacing="0"/>
        <w:textAlignment w:val="baseline"/>
        <w:rPr>
          <w:rFonts w:ascii="Segoe UI" w:hAnsi="Segoe UI" w:cs="Segoe UI"/>
          <w:sz w:val="18"/>
          <w:szCs w:val="18"/>
        </w:rPr>
      </w:pPr>
    </w:p>
    <w:p w14:paraId="65CD3ECF" w14:textId="0DEF6724" w:rsidR="00E73690" w:rsidRDefault="00E73690" w:rsidP="000A181B">
      <w:pPr>
        <w:pStyle w:val="paragraph"/>
        <w:spacing w:before="0" w:beforeAutospacing="0" w:after="0" w:afterAutospacing="0"/>
        <w:textAlignment w:val="baseline"/>
        <w:rPr>
          <w:rFonts w:ascii="Segoe UI" w:hAnsi="Segoe UI" w:cs="Segoe UI"/>
          <w:sz w:val="18"/>
          <w:szCs w:val="18"/>
        </w:rPr>
      </w:pPr>
    </w:p>
    <w:p w14:paraId="0CDAFAAC" w14:textId="77777777" w:rsidR="00E73690" w:rsidRPr="0029377D" w:rsidRDefault="00E73690" w:rsidP="00E73690">
      <w:pPr>
        <w:spacing w:after="0"/>
        <w:ind w:left="0"/>
        <w:jc w:val="center"/>
        <w:rPr>
          <w:b/>
          <w:bCs/>
          <w:sz w:val="48"/>
          <w:szCs w:val="48"/>
        </w:rPr>
      </w:pPr>
      <w:r w:rsidRPr="0002008B">
        <w:rPr>
          <w:b/>
          <w:bCs/>
          <w:sz w:val="48"/>
          <w:szCs w:val="48"/>
        </w:rPr>
        <w:t xml:space="preserve">CHETWYNDE </w:t>
      </w:r>
      <w:r w:rsidRPr="0029377D">
        <w:rPr>
          <w:b/>
          <w:bCs/>
          <w:sz w:val="48"/>
          <w:szCs w:val="48"/>
        </w:rPr>
        <w:t>SCHOOL</w:t>
      </w:r>
    </w:p>
    <w:p w14:paraId="47CF4032" w14:textId="77777777" w:rsidR="00E73690" w:rsidRPr="0029377D" w:rsidRDefault="00E73690" w:rsidP="00E73690">
      <w:pPr>
        <w:spacing w:after="0"/>
        <w:ind w:left="0"/>
        <w:jc w:val="center"/>
        <w:rPr>
          <w:b/>
          <w:bCs/>
          <w:sz w:val="56"/>
          <w:szCs w:val="56"/>
        </w:rPr>
      </w:pPr>
    </w:p>
    <w:p w14:paraId="74DEA257" w14:textId="20487400" w:rsidR="00E73690" w:rsidRPr="0029377D" w:rsidRDefault="00E73690" w:rsidP="00E73690">
      <w:pPr>
        <w:spacing w:after="0"/>
        <w:ind w:left="0"/>
        <w:jc w:val="center"/>
        <w:rPr>
          <w:b/>
          <w:bCs/>
          <w:sz w:val="72"/>
          <w:szCs w:val="72"/>
        </w:rPr>
      </w:pPr>
      <w:r>
        <w:rPr>
          <w:b/>
          <w:bCs/>
          <w:sz w:val="72"/>
          <w:szCs w:val="72"/>
        </w:rPr>
        <w:t>CAREERS POLICY</w:t>
      </w:r>
    </w:p>
    <w:p w14:paraId="1C06DE31" w14:textId="77777777" w:rsidR="00E73690" w:rsidRPr="0029377D" w:rsidRDefault="00E73690" w:rsidP="00E73690">
      <w:pPr>
        <w:spacing w:after="0"/>
        <w:ind w:left="0"/>
        <w:jc w:val="center"/>
        <w:rPr>
          <w:b/>
          <w:bCs/>
          <w:sz w:val="72"/>
          <w:szCs w:val="72"/>
        </w:rPr>
      </w:pPr>
    </w:p>
    <w:p w14:paraId="4E86B792" w14:textId="77777777" w:rsidR="00E73690" w:rsidRPr="0029377D" w:rsidRDefault="00E73690" w:rsidP="00E73690">
      <w:pPr>
        <w:spacing w:after="0"/>
        <w:ind w:left="0"/>
        <w:jc w:val="center"/>
        <w:rPr>
          <w:b/>
          <w:bCs/>
          <w:sz w:val="72"/>
          <w:szCs w:val="72"/>
        </w:rPr>
      </w:pPr>
      <w:r w:rsidRPr="0029377D">
        <w:rPr>
          <w:b/>
          <w:bCs/>
          <w:sz w:val="72"/>
          <w:szCs w:val="72"/>
        </w:rPr>
        <w:t>20</w:t>
      </w:r>
      <w:r>
        <w:rPr>
          <w:b/>
          <w:bCs/>
          <w:sz w:val="72"/>
          <w:szCs w:val="72"/>
        </w:rPr>
        <w:t>23</w:t>
      </w:r>
      <w:r w:rsidRPr="0029377D">
        <w:rPr>
          <w:b/>
          <w:bCs/>
          <w:sz w:val="72"/>
          <w:szCs w:val="72"/>
        </w:rPr>
        <w:t xml:space="preserve">   </w:t>
      </w:r>
    </w:p>
    <w:p w14:paraId="213D379B" w14:textId="77777777" w:rsidR="00E73690" w:rsidRPr="0029377D" w:rsidRDefault="00E73690" w:rsidP="00E73690">
      <w:pPr>
        <w:spacing w:after="0"/>
        <w:ind w:left="0"/>
        <w:rPr>
          <w:b/>
          <w:bCs/>
          <w:szCs w:val="24"/>
        </w:rPr>
      </w:pPr>
    </w:p>
    <w:p w14:paraId="448AE770" w14:textId="77777777" w:rsidR="00E73690" w:rsidRPr="0029377D" w:rsidRDefault="00E73690" w:rsidP="00E73690">
      <w:pPr>
        <w:spacing w:after="0"/>
        <w:ind w:left="0"/>
        <w:rPr>
          <w:b/>
          <w:bCs/>
          <w:szCs w:val="24"/>
        </w:rPr>
      </w:pPr>
    </w:p>
    <w:p w14:paraId="1FDD7B06" w14:textId="77777777" w:rsidR="00E73690" w:rsidRPr="0029377D" w:rsidRDefault="00E73690" w:rsidP="00E73690">
      <w:pPr>
        <w:spacing w:after="0"/>
        <w:ind w:left="0"/>
        <w:rPr>
          <w:b/>
          <w:bCs/>
          <w:szCs w:val="24"/>
        </w:rPr>
      </w:pPr>
    </w:p>
    <w:p w14:paraId="0EC545A9" w14:textId="77777777" w:rsidR="00E73690" w:rsidRPr="0029377D" w:rsidRDefault="00E73690" w:rsidP="00E73690">
      <w:pPr>
        <w:ind w:left="0"/>
        <w:rPr>
          <w:b/>
        </w:rPr>
      </w:pPr>
    </w:p>
    <w:tbl>
      <w:tblPr>
        <w:tblStyle w:val="TableGrid"/>
        <w:tblW w:w="0" w:type="auto"/>
        <w:tblLook w:val="04A0" w:firstRow="1" w:lastRow="0" w:firstColumn="1" w:lastColumn="0" w:noHBand="0" w:noVBand="1"/>
      </w:tblPr>
      <w:tblGrid>
        <w:gridCol w:w="2972"/>
        <w:gridCol w:w="7222"/>
      </w:tblGrid>
      <w:tr w:rsidR="00E73690" w:rsidRPr="003708C8" w14:paraId="57B61527" w14:textId="77777777" w:rsidTr="00D976BB">
        <w:trPr>
          <w:trHeight w:val="476"/>
        </w:trPr>
        <w:tc>
          <w:tcPr>
            <w:tcW w:w="10194" w:type="dxa"/>
            <w:gridSpan w:val="2"/>
            <w:shd w:val="clear" w:color="auto" w:fill="D9D9D9" w:themeFill="background1" w:themeFillShade="D9"/>
            <w:vAlign w:val="center"/>
          </w:tcPr>
          <w:p w14:paraId="410E2BE0" w14:textId="77777777" w:rsidR="00E73690" w:rsidRPr="003708C8" w:rsidRDefault="00E73690" w:rsidP="00D976BB">
            <w:pPr>
              <w:spacing w:after="0"/>
              <w:ind w:left="0"/>
              <w:rPr>
                <w:b/>
                <w:bCs/>
                <w:sz w:val="28"/>
                <w:szCs w:val="28"/>
              </w:rPr>
            </w:pPr>
            <w:r w:rsidRPr="003708C8">
              <w:rPr>
                <w:b/>
                <w:bCs/>
                <w:sz w:val="28"/>
                <w:szCs w:val="28"/>
              </w:rPr>
              <w:t>Approved by</w:t>
            </w:r>
            <w:r w:rsidRPr="003708C8">
              <w:rPr>
                <w:b/>
                <w:bCs/>
                <w:sz w:val="28"/>
                <w:szCs w:val="28"/>
                <w:vertAlign w:val="superscript"/>
              </w:rPr>
              <w:t>1</w:t>
            </w:r>
          </w:p>
        </w:tc>
      </w:tr>
      <w:tr w:rsidR="00E73690" w:rsidRPr="003708C8" w14:paraId="2591245B" w14:textId="77777777" w:rsidTr="00D976BB">
        <w:trPr>
          <w:trHeight w:val="476"/>
        </w:trPr>
        <w:tc>
          <w:tcPr>
            <w:tcW w:w="2972" w:type="dxa"/>
            <w:shd w:val="clear" w:color="auto" w:fill="F2F2F2" w:themeFill="background1" w:themeFillShade="F2"/>
            <w:vAlign w:val="center"/>
          </w:tcPr>
          <w:p w14:paraId="7F565EC4" w14:textId="77777777" w:rsidR="00E73690" w:rsidRPr="003708C8" w:rsidRDefault="00E73690" w:rsidP="00D976BB">
            <w:pPr>
              <w:spacing w:after="0"/>
              <w:ind w:left="0"/>
              <w:rPr>
                <w:b/>
                <w:bCs/>
                <w:szCs w:val="24"/>
              </w:rPr>
            </w:pPr>
            <w:r w:rsidRPr="003708C8">
              <w:rPr>
                <w:b/>
                <w:bCs/>
                <w:szCs w:val="24"/>
              </w:rPr>
              <w:t>Name:</w:t>
            </w:r>
          </w:p>
        </w:tc>
        <w:tc>
          <w:tcPr>
            <w:tcW w:w="7222" w:type="dxa"/>
            <w:vAlign w:val="center"/>
          </w:tcPr>
          <w:p w14:paraId="2F7E9118" w14:textId="77777777" w:rsidR="00E73690" w:rsidRPr="003708C8" w:rsidRDefault="00E73690" w:rsidP="00D976BB">
            <w:pPr>
              <w:spacing w:after="0"/>
              <w:ind w:left="0"/>
              <w:rPr>
                <w:szCs w:val="24"/>
              </w:rPr>
            </w:pPr>
            <w:r>
              <w:rPr>
                <w:szCs w:val="24"/>
              </w:rPr>
              <w:t>Mr John Burgess</w:t>
            </w:r>
          </w:p>
        </w:tc>
      </w:tr>
      <w:tr w:rsidR="00E73690" w:rsidRPr="003708C8" w14:paraId="7C9B9E5E" w14:textId="77777777" w:rsidTr="00D976BB">
        <w:trPr>
          <w:trHeight w:val="476"/>
        </w:trPr>
        <w:tc>
          <w:tcPr>
            <w:tcW w:w="2972" w:type="dxa"/>
            <w:shd w:val="clear" w:color="auto" w:fill="F2F2F2" w:themeFill="background1" w:themeFillShade="F2"/>
            <w:vAlign w:val="center"/>
          </w:tcPr>
          <w:p w14:paraId="4C2C7A58" w14:textId="77777777" w:rsidR="00E73690" w:rsidRPr="003708C8" w:rsidRDefault="00E73690" w:rsidP="00D976BB">
            <w:pPr>
              <w:spacing w:after="0"/>
              <w:ind w:left="0"/>
              <w:rPr>
                <w:b/>
                <w:bCs/>
                <w:szCs w:val="24"/>
              </w:rPr>
            </w:pPr>
            <w:r w:rsidRPr="003708C8">
              <w:rPr>
                <w:b/>
                <w:bCs/>
                <w:szCs w:val="24"/>
              </w:rPr>
              <w:t>Position:</w:t>
            </w:r>
          </w:p>
        </w:tc>
        <w:tc>
          <w:tcPr>
            <w:tcW w:w="7222" w:type="dxa"/>
            <w:vAlign w:val="center"/>
          </w:tcPr>
          <w:p w14:paraId="615E6027" w14:textId="77777777" w:rsidR="00E73690" w:rsidRPr="003708C8" w:rsidRDefault="00E73690" w:rsidP="00D976BB">
            <w:pPr>
              <w:spacing w:after="0"/>
              <w:ind w:left="0"/>
              <w:rPr>
                <w:szCs w:val="24"/>
              </w:rPr>
            </w:pPr>
            <w:r>
              <w:rPr>
                <w:szCs w:val="24"/>
              </w:rPr>
              <w:t>Chair of Governors</w:t>
            </w:r>
          </w:p>
        </w:tc>
      </w:tr>
      <w:tr w:rsidR="00E73690" w:rsidRPr="003708C8" w14:paraId="5F21370A" w14:textId="77777777" w:rsidTr="00D976BB">
        <w:trPr>
          <w:trHeight w:val="476"/>
        </w:trPr>
        <w:tc>
          <w:tcPr>
            <w:tcW w:w="2972" w:type="dxa"/>
            <w:shd w:val="clear" w:color="auto" w:fill="F2F2F2" w:themeFill="background1" w:themeFillShade="F2"/>
            <w:vAlign w:val="center"/>
          </w:tcPr>
          <w:p w14:paraId="7917730E" w14:textId="77777777" w:rsidR="00E73690" w:rsidRPr="003708C8" w:rsidRDefault="00E73690" w:rsidP="00D976BB">
            <w:pPr>
              <w:spacing w:after="0"/>
              <w:ind w:left="0"/>
              <w:rPr>
                <w:b/>
                <w:bCs/>
                <w:szCs w:val="24"/>
              </w:rPr>
            </w:pPr>
            <w:r w:rsidRPr="003708C8">
              <w:rPr>
                <w:b/>
                <w:bCs/>
                <w:szCs w:val="24"/>
              </w:rPr>
              <w:t>Signed:</w:t>
            </w:r>
          </w:p>
        </w:tc>
        <w:tc>
          <w:tcPr>
            <w:tcW w:w="7222" w:type="dxa"/>
            <w:vAlign w:val="center"/>
          </w:tcPr>
          <w:p w14:paraId="13A5EA7B" w14:textId="77777777" w:rsidR="00E73690" w:rsidRPr="003708C8" w:rsidRDefault="00E73690" w:rsidP="00D976BB">
            <w:pPr>
              <w:spacing w:after="0"/>
              <w:ind w:left="0"/>
              <w:rPr>
                <w:szCs w:val="24"/>
              </w:rPr>
            </w:pPr>
            <w:r>
              <w:rPr>
                <w:noProof/>
                <w:szCs w:val="24"/>
              </w:rPr>
              <w:drawing>
                <wp:inline distT="0" distB="0" distL="0" distR="0" wp14:anchorId="3D184F44" wp14:editId="68A5A7F6">
                  <wp:extent cx="1432560" cy="83687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Burgess si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3600" cy="866694"/>
                          </a:xfrm>
                          <a:prstGeom prst="rect">
                            <a:avLst/>
                          </a:prstGeom>
                        </pic:spPr>
                      </pic:pic>
                    </a:graphicData>
                  </a:graphic>
                </wp:inline>
              </w:drawing>
            </w:r>
          </w:p>
        </w:tc>
      </w:tr>
      <w:tr w:rsidR="00E73690" w:rsidRPr="003708C8" w14:paraId="0EFCEB80" w14:textId="77777777" w:rsidTr="00D976BB">
        <w:trPr>
          <w:trHeight w:val="476"/>
        </w:trPr>
        <w:tc>
          <w:tcPr>
            <w:tcW w:w="2972" w:type="dxa"/>
            <w:shd w:val="clear" w:color="auto" w:fill="F2F2F2" w:themeFill="background1" w:themeFillShade="F2"/>
            <w:vAlign w:val="center"/>
          </w:tcPr>
          <w:p w14:paraId="184969FB" w14:textId="77777777" w:rsidR="00E73690" w:rsidRPr="003708C8" w:rsidRDefault="00E73690" w:rsidP="00D976BB">
            <w:pPr>
              <w:spacing w:after="0"/>
              <w:ind w:left="0"/>
              <w:rPr>
                <w:b/>
                <w:bCs/>
                <w:szCs w:val="24"/>
              </w:rPr>
            </w:pPr>
            <w:r>
              <w:rPr>
                <w:b/>
                <w:bCs/>
                <w:szCs w:val="24"/>
              </w:rPr>
              <w:t>Date:</w:t>
            </w:r>
          </w:p>
        </w:tc>
        <w:tc>
          <w:tcPr>
            <w:tcW w:w="7222" w:type="dxa"/>
            <w:vAlign w:val="center"/>
          </w:tcPr>
          <w:p w14:paraId="53737283" w14:textId="77777777" w:rsidR="00E73690" w:rsidRPr="003708C8" w:rsidRDefault="00E73690" w:rsidP="00D976BB">
            <w:pPr>
              <w:spacing w:after="0"/>
              <w:ind w:left="0"/>
              <w:rPr>
                <w:szCs w:val="24"/>
              </w:rPr>
            </w:pPr>
            <w:r>
              <w:rPr>
                <w:szCs w:val="24"/>
              </w:rPr>
              <w:t>January 2023</w:t>
            </w:r>
          </w:p>
        </w:tc>
      </w:tr>
      <w:tr w:rsidR="00E73690" w:rsidRPr="003708C8" w14:paraId="012B072D" w14:textId="77777777" w:rsidTr="00D976BB">
        <w:trPr>
          <w:trHeight w:val="476"/>
        </w:trPr>
        <w:tc>
          <w:tcPr>
            <w:tcW w:w="2972" w:type="dxa"/>
            <w:shd w:val="clear" w:color="auto" w:fill="F2F2F2" w:themeFill="background1" w:themeFillShade="F2"/>
            <w:vAlign w:val="center"/>
          </w:tcPr>
          <w:p w14:paraId="17E35429" w14:textId="77777777" w:rsidR="00E73690" w:rsidRPr="003708C8" w:rsidRDefault="00E73690" w:rsidP="00D976BB">
            <w:pPr>
              <w:spacing w:after="0"/>
              <w:ind w:left="0"/>
              <w:rPr>
                <w:b/>
                <w:bCs/>
                <w:szCs w:val="24"/>
              </w:rPr>
            </w:pPr>
            <w:r w:rsidRPr="003708C8">
              <w:rPr>
                <w:b/>
                <w:bCs/>
                <w:szCs w:val="24"/>
              </w:rPr>
              <w:t>Proposed Review Date</w:t>
            </w:r>
            <w:r w:rsidRPr="003708C8">
              <w:rPr>
                <w:b/>
                <w:bCs/>
                <w:szCs w:val="24"/>
                <w:vertAlign w:val="superscript"/>
              </w:rPr>
              <w:t>2</w:t>
            </w:r>
          </w:p>
        </w:tc>
        <w:tc>
          <w:tcPr>
            <w:tcW w:w="7222" w:type="dxa"/>
            <w:vAlign w:val="center"/>
          </w:tcPr>
          <w:p w14:paraId="07206763" w14:textId="77777777" w:rsidR="00E73690" w:rsidRPr="003708C8" w:rsidRDefault="00E73690" w:rsidP="00D976BB">
            <w:pPr>
              <w:spacing w:after="0"/>
              <w:ind w:left="0"/>
              <w:rPr>
                <w:szCs w:val="24"/>
              </w:rPr>
            </w:pPr>
            <w:r>
              <w:rPr>
                <w:szCs w:val="24"/>
              </w:rPr>
              <w:t>January 2024</w:t>
            </w:r>
          </w:p>
        </w:tc>
      </w:tr>
    </w:tbl>
    <w:p w14:paraId="6ABF0464" w14:textId="77777777" w:rsidR="00E73690" w:rsidRPr="0029377D" w:rsidRDefault="00E73690" w:rsidP="00E73690">
      <w:pPr>
        <w:pStyle w:val="Title"/>
        <w:ind w:left="0"/>
        <w:jc w:val="left"/>
        <w:rPr>
          <w:rFonts w:eastAsia="Calibri" w:cs="Calibri"/>
          <w:sz w:val="28"/>
          <w:szCs w:val="28"/>
        </w:rPr>
        <w:sectPr w:rsidR="00E73690" w:rsidRPr="0029377D" w:rsidSect="005F5863">
          <w:headerReference w:type="default" r:id="rId12"/>
          <w:footerReference w:type="default" r:id="rId13"/>
          <w:pgSz w:w="11906" w:h="16838"/>
          <w:pgMar w:top="680" w:right="851" w:bottom="680" w:left="851" w:header="567" w:footer="567" w:gutter="0"/>
          <w:cols w:space="708"/>
          <w:docGrid w:linePitch="360"/>
        </w:sectPr>
      </w:pPr>
    </w:p>
    <w:p w14:paraId="4EFFEEF9" w14:textId="77777777" w:rsidR="00E73690" w:rsidRDefault="00E73690" w:rsidP="000A181B">
      <w:pPr>
        <w:pStyle w:val="paragraph"/>
        <w:spacing w:before="0" w:beforeAutospacing="0" w:after="0" w:afterAutospacing="0"/>
        <w:textAlignment w:val="baseline"/>
        <w:rPr>
          <w:rFonts w:ascii="Segoe UI" w:hAnsi="Segoe UI" w:cs="Segoe UI"/>
          <w:sz w:val="18"/>
          <w:szCs w:val="18"/>
        </w:rPr>
      </w:pPr>
    </w:p>
    <w:p w14:paraId="3D401A80" w14:textId="77777777" w:rsidR="000A181B" w:rsidRDefault="000A181B" w:rsidP="000A18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F457086" w14:textId="77777777" w:rsidR="000A181B" w:rsidRDefault="000A181B" w:rsidP="000A181B">
      <w:pPr>
        <w:pStyle w:val="paragraph"/>
        <w:spacing w:before="0" w:beforeAutospacing="0" w:after="0" w:afterAutospacing="0"/>
        <w:ind w:left="570" w:hanging="570"/>
        <w:jc w:val="both"/>
        <w:textAlignment w:val="baseline"/>
        <w:rPr>
          <w:rFonts w:ascii="Arial" w:hAnsi="Arial" w:cs="Arial"/>
        </w:rPr>
      </w:pPr>
      <w:r>
        <w:rPr>
          <w:rStyle w:val="eop"/>
          <w:rFonts w:ascii="Arial" w:hAnsi="Arial" w:cs="Arial"/>
          <w:b/>
          <w:bCs/>
          <w:color w:val="000000"/>
          <w:sz w:val="22"/>
          <w:szCs w:val="22"/>
        </w:rPr>
        <w:t> </w:t>
      </w:r>
    </w:p>
    <w:p w14:paraId="05FA9E39" w14:textId="77777777" w:rsidR="000A181B" w:rsidRDefault="000A181B" w:rsidP="000A181B">
      <w:pPr>
        <w:pStyle w:val="paragraph"/>
        <w:spacing w:before="0" w:beforeAutospacing="0" w:after="0" w:afterAutospacing="0"/>
        <w:jc w:val="both"/>
        <w:textAlignment w:val="baseline"/>
        <w:rPr>
          <w:rFonts w:ascii="Segoe UI" w:hAnsi="Segoe UI" w:cs="Segoe UI"/>
          <w:b/>
          <w:bCs/>
          <w:color w:val="4F81BD"/>
          <w:sz w:val="18"/>
          <w:szCs w:val="18"/>
        </w:rPr>
      </w:pPr>
      <w:r>
        <w:rPr>
          <w:rStyle w:val="normaltextrun"/>
          <w:rFonts w:ascii="Arial" w:hAnsi="Arial" w:cs="Arial"/>
          <w:b/>
          <w:bCs/>
          <w:color w:val="000000"/>
        </w:rPr>
        <w:t>Contents</w:t>
      </w:r>
      <w:r>
        <w:rPr>
          <w:rStyle w:val="eop"/>
          <w:rFonts w:ascii="Arial" w:hAnsi="Arial" w:cs="Arial"/>
          <w:b/>
          <w:bCs/>
          <w:color w:val="000000"/>
        </w:rPr>
        <w:t> </w:t>
      </w:r>
    </w:p>
    <w:p w14:paraId="7A94A681" w14:textId="77777777" w:rsidR="000A181B" w:rsidRDefault="000A181B" w:rsidP="000A181B">
      <w:pPr>
        <w:pStyle w:val="paragraph"/>
        <w:spacing w:before="0" w:beforeAutospacing="0" w:after="0" w:afterAutospacing="0"/>
        <w:ind w:left="570" w:hanging="570"/>
        <w:jc w:val="both"/>
        <w:textAlignment w:val="baseline"/>
        <w:rPr>
          <w:rFonts w:ascii="Segoe UI" w:hAnsi="Segoe UI" w:cs="Segoe UI"/>
          <w:b/>
          <w:bCs/>
          <w:color w:val="4F81BD"/>
          <w:sz w:val="18"/>
          <w:szCs w:val="18"/>
        </w:rPr>
      </w:pPr>
      <w:r>
        <w:rPr>
          <w:rStyle w:val="eop"/>
          <w:rFonts w:ascii="Arial" w:hAnsi="Arial" w:cs="Arial"/>
          <w:b/>
          <w:bCs/>
          <w:color w:val="000000"/>
          <w:sz w:val="22"/>
          <w:szCs w:val="22"/>
        </w:rPr>
        <w:t> </w:t>
      </w:r>
    </w:p>
    <w:p w14:paraId="33C48CBD" w14:textId="44927394" w:rsidR="000A181B" w:rsidRPr="00E73690" w:rsidRDefault="000A181B" w:rsidP="000A181B">
      <w:pPr>
        <w:pStyle w:val="paragraph"/>
        <w:numPr>
          <w:ilvl w:val="0"/>
          <w:numId w:val="4"/>
        </w:numPr>
        <w:spacing w:before="0" w:beforeAutospacing="0" w:after="0" w:afterAutospacing="0"/>
        <w:jc w:val="both"/>
        <w:textAlignment w:val="baseline"/>
        <w:rPr>
          <w:rFonts w:ascii="Arial" w:hAnsi="Arial" w:cs="Arial"/>
        </w:rPr>
      </w:pPr>
      <w:r w:rsidRPr="00E73690">
        <w:rPr>
          <w:rStyle w:val="eop"/>
          <w:rFonts w:ascii="Arial" w:hAnsi="Arial" w:cs="Arial"/>
          <w:color w:val="000000"/>
        </w:rPr>
        <w:t>Statutory Duty</w:t>
      </w:r>
    </w:p>
    <w:p w14:paraId="1657FB77" w14:textId="181D7338" w:rsidR="000A181B" w:rsidRPr="00E73690" w:rsidRDefault="00E73690" w:rsidP="00E73690">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Statement of Intent / Objectives</w:t>
      </w:r>
    </w:p>
    <w:p w14:paraId="4856BEAD" w14:textId="77777777" w:rsidR="000A181B" w:rsidRPr="00E73690" w:rsidRDefault="000A181B" w:rsidP="000A181B">
      <w:pPr>
        <w:pStyle w:val="paragraph"/>
        <w:numPr>
          <w:ilvl w:val="0"/>
          <w:numId w:val="4"/>
        </w:numPr>
        <w:spacing w:before="0" w:beforeAutospacing="0" w:after="0" w:afterAutospacing="0"/>
        <w:ind w:left="360" w:firstLine="0"/>
        <w:jc w:val="both"/>
        <w:textAlignment w:val="baseline"/>
        <w:rPr>
          <w:rStyle w:val="eop"/>
          <w:rFonts w:ascii="Arial" w:hAnsi="Arial" w:cs="Arial"/>
        </w:rPr>
      </w:pPr>
      <w:r w:rsidRPr="00E73690">
        <w:rPr>
          <w:rStyle w:val="eop"/>
          <w:rFonts w:ascii="Arial" w:hAnsi="Arial" w:cs="Arial"/>
          <w:color w:val="000000"/>
        </w:rPr>
        <w:t xml:space="preserve">Roles and Responsibilities </w:t>
      </w:r>
    </w:p>
    <w:p w14:paraId="42DDC066" w14:textId="77777777" w:rsidR="000A181B" w:rsidRPr="00E73690" w:rsidRDefault="000A181B" w:rsidP="000A181B">
      <w:pPr>
        <w:pStyle w:val="paragraph"/>
        <w:numPr>
          <w:ilvl w:val="0"/>
          <w:numId w:val="4"/>
        </w:numPr>
        <w:spacing w:before="0" w:beforeAutospacing="0" w:after="0" w:afterAutospacing="0"/>
        <w:ind w:left="360" w:firstLine="0"/>
        <w:jc w:val="both"/>
        <w:textAlignment w:val="baseline"/>
        <w:rPr>
          <w:rStyle w:val="eop"/>
          <w:rFonts w:ascii="Arial" w:hAnsi="Arial" w:cs="Arial"/>
        </w:rPr>
      </w:pPr>
      <w:r w:rsidRPr="00E73690">
        <w:rPr>
          <w:rStyle w:val="eop"/>
          <w:rFonts w:ascii="Arial" w:hAnsi="Arial" w:cs="Arial"/>
          <w:color w:val="000000"/>
        </w:rPr>
        <w:t>Implementation of the career plan</w:t>
      </w:r>
    </w:p>
    <w:p w14:paraId="502AE2D1" w14:textId="77777777" w:rsidR="000A181B" w:rsidRPr="00E73690" w:rsidRDefault="000A181B" w:rsidP="000A181B">
      <w:pPr>
        <w:pStyle w:val="paragraph"/>
        <w:numPr>
          <w:ilvl w:val="0"/>
          <w:numId w:val="4"/>
        </w:numPr>
        <w:spacing w:before="0" w:beforeAutospacing="0" w:after="0" w:afterAutospacing="0"/>
        <w:ind w:left="360" w:firstLine="0"/>
        <w:jc w:val="both"/>
        <w:textAlignment w:val="baseline"/>
        <w:rPr>
          <w:rFonts w:ascii="Arial" w:hAnsi="Arial" w:cs="Arial"/>
        </w:rPr>
      </w:pPr>
      <w:r w:rsidRPr="00E73690">
        <w:rPr>
          <w:rFonts w:ascii="Arial" w:hAnsi="Arial" w:cs="Arial"/>
        </w:rPr>
        <w:t>Measuring the impact of CEIAG</w:t>
      </w:r>
    </w:p>
    <w:p w14:paraId="184C5CFF" w14:textId="77777777" w:rsidR="000A181B" w:rsidRDefault="000A181B" w:rsidP="000A181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3B941DF" w14:textId="6FEBCFDE" w:rsidR="000A181B" w:rsidRPr="00E73690" w:rsidRDefault="000A181B" w:rsidP="00E7369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1520D74A" w14:textId="77777777" w:rsidR="000A181B" w:rsidRDefault="000A181B" w:rsidP="000A181B">
      <w:pPr>
        <w:pStyle w:val="Heading1"/>
        <w:ind w:left="-5"/>
      </w:pPr>
      <w:r>
        <w:t xml:space="preserve">Statutory duty </w:t>
      </w:r>
    </w:p>
    <w:p w14:paraId="27EFEC1B" w14:textId="77777777" w:rsidR="000A181B" w:rsidRDefault="000A181B" w:rsidP="000A181B">
      <w:pPr>
        <w:spacing w:after="26"/>
        <w:ind w:right="0"/>
      </w:pPr>
      <w:proofErr w:type="spellStart"/>
      <w:r>
        <w:t>Chetwynde</w:t>
      </w:r>
      <w:proofErr w:type="spellEnd"/>
      <w:r>
        <w:t xml:space="preserve"> School has a statutory duty to provide independent careers information and guidance for all pupils from year 7 to 11 (The Education Act 2011 / Careers guidance and access for education and training providers July 2021). The policy is supported by a Career Plan with planned support for all pupils regardless of their race, sex or academic abilities need a planned programme of activities to help them make decisions and plan their careers.   </w:t>
      </w:r>
    </w:p>
    <w:p w14:paraId="3A418074" w14:textId="77777777" w:rsidR="000A181B" w:rsidRDefault="000A181B" w:rsidP="000A181B">
      <w:pPr>
        <w:spacing w:after="26"/>
        <w:ind w:right="0"/>
      </w:pPr>
      <w:proofErr w:type="spellStart"/>
      <w:r>
        <w:t>Chetwynde</w:t>
      </w:r>
      <w:proofErr w:type="spellEnd"/>
      <w:r>
        <w:t xml:space="preserve"> School is required to meet the eight Gatsby Benchmarks for Good Career Guidance. From September 2013 The Education Act of 2011 placed schools under a duty to ensure that all registered pupils in Years 8-11 have access to independent, accurate and impartial information advice and guidance. </w:t>
      </w:r>
    </w:p>
    <w:p w14:paraId="7DE9C844" w14:textId="77777777" w:rsidR="000A181B" w:rsidRDefault="000A181B" w:rsidP="000A181B">
      <w:pPr>
        <w:spacing w:after="22" w:line="259" w:lineRule="auto"/>
        <w:ind w:left="0" w:right="0" w:firstLine="0"/>
        <w:jc w:val="left"/>
      </w:pPr>
      <w:r>
        <w:t xml:space="preserve"> </w:t>
      </w:r>
    </w:p>
    <w:p w14:paraId="0CB4C8A6" w14:textId="77777777" w:rsidR="000A181B" w:rsidRPr="00FE615B" w:rsidRDefault="000A181B" w:rsidP="000A181B">
      <w:pPr>
        <w:spacing w:after="22" w:line="259" w:lineRule="auto"/>
        <w:ind w:left="0" w:right="0" w:firstLine="0"/>
        <w:jc w:val="left"/>
        <w:rPr>
          <w:b/>
        </w:rPr>
      </w:pPr>
      <w:r w:rsidRPr="00FE615B">
        <w:rPr>
          <w:b/>
        </w:rPr>
        <w:t>Statement of intent</w:t>
      </w:r>
      <w:r>
        <w:rPr>
          <w:b/>
        </w:rPr>
        <w:t>ion and objectives</w:t>
      </w:r>
    </w:p>
    <w:p w14:paraId="0E824A2C" w14:textId="77777777" w:rsidR="000A181B" w:rsidRDefault="000A181B" w:rsidP="000A181B">
      <w:pPr>
        <w:spacing w:after="62"/>
        <w:ind w:right="0"/>
      </w:pPr>
      <w:r>
        <w:t xml:space="preserve">Careers Education, Information, Advice and Guidance (CEIAG) will be presented without bias and be will be impartial. Careers guidance will include a range of education or training options, including T levels, apprenticeships and other vocational pathways </w:t>
      </w:r>
    </w:p>
    <w:p w14:paraId="37642080" w14:textId="77777777" w:rsidR="000A181B" w:rsidRDefault="000A181B" w:rsidP="000A181B">
      <w:pPr>
        <w:spacing w:after="62"/>
        <w:ind w:right="0"/>
      </w:pPr>
    </w:p>
    <w:p w14:paraId="173F8FEA" w14:textId="77777777" w:rsidR="000A181B" w:rsidRDefault="000A181B" w:rsidP="000A181B">
      <w:pPr>
        <w:spacing w:after="62"/>
        <w:ind w:right="0"/>
      </w:pPr>
      <w:r>
        <w:t xml:space="preserve">The best interests of the pupils will be the focus for all information and guidance. We recognise that progression planning has a vital role in maximising the future </w:t>
      </w:r>
      <w:proofErr w:type="spellStart"/>
      <w:r>
        <w:t>well being</w:t>
      </w:r>
      <w:proofErr w:type="spellEnd"/>
      <w:r>
        <w:t xml:space="preserve"> of a young person and the local community.  The school values of respect, responsibility and resilience will be embedded within careers guidance.  </w:t>
      </w:r>
    </w:p>
    <w:p w14:paraId="7C80CD6F" w14:textId="77777777" w:rsidR="000A181B" w:rsidRDefault="000A181B" w:rsidP="000A181B">
      <w:pPr>
        <w:spacing w:after="26"/>
        <w:ind w:right="0"/>
      </w:pPr>
    </w:p>
    <w:p w14:paraId="74561BD3" w14:textId="77777777" w:rsidR="000A181B" w:rsidRDefault="000A181B" w:rsidP="000A181B">
      <w:pPr>
        <w:spacing w:after="26"/>
        <w:ind w:right="0"/>
      </w:pPr>
      <w:r>
        <w:t xml:space="preserve">The delivery of a successful careers plan will mean that pupils make confident and informed choices. By making robust plans pupils will be motivated work hard to complete planned actions for successful progression. </w:t>
      </w:r>
    </w:p>
    <w:p w14:paraId="26765B46" w14:textId="77777777" w:rsidR="000A181B" w:rsidRDefault="000A181B" w:rsidP="000A181B">
      <w:pPr>
        <w:spacing w:after="26"/>
        <w:ind w:right="0"/>
      </w:pPr>
      <w:r>
        <w:t xml:space="preserve">We will support pupils in making well-informed decisions by providing access to differentiated, impartial, independent information and guidance about a wide range of options. Their decision making will be supported by learning about the local labour market. Pupils will be challenged to have high expectations and to be aspirational in their plans. Pupils will learn that career development is life long and resilience will involve making changes to their plans when the need arises. </w:t>
      </w:r>
    </w:p>
    <w:p w14:paraId="25985C61" w14:textId="77777777" w:rsidR="000A181B" w:rsidRDefault="000A181B" w:rsidP="000A181B">
      <w:pPr>
        <w:spacing w:after="28"/>
        <w:ind w:right="0"/>
      </w:pPr>
      <w:r>
        <w:t xml:space="preserve">  </w:t>
      </w:r>
    </w:p>
    <w:p w14:paraId="611CC7CF" w14:textId="77777777" w:rsidR="000A181B" w:rsidRDefault="000A181B" w:rsidP="000A181B">
      <w:pPr>
        <w:spacing w:after="0" w:line="259" w:lineRule="auto"/>
        <w:ind w:left="0" w:right="0" w:firstLine="0"/>
        <w:jc w:val="left"/>
      </w:pPr>
      <w:r>
        <w:rPr>
          <w:b/>
        </w:rPr>
        <w:t xml:space="preserve"> </w:t>
      </w:r>
      <w:r>
        <w:t xml:space="preserve">Pupils will learn about a wide range of careers and stereotypes will be challenged. Weekly senior school assemblies will be key events for showcasing the breadth of career options.  </w:t>
      </w:r>
    </w:p>
    <w:p w14:paraId="282A307C" w14:textId="77777777" w:rsidR="000A181B" w:rsidRDefault="000A181B" w:rsidP="000A181B">
      <w:pPr>
        <w:ind w:right="0"/>
      </w:pPr>
    </w:p>
    <w:p w14:paraId="7592C82E" w14:textId="77777777" w:rsidR="000A181B" w:rsidRDefault="000A181B" w:rsidP="000A181B">
      <w:pPr>
        <w:spacing w:after="0" w:line="259" w:lineRule="auto"/>
        <w:ind w:left="0" w:right="0" w:firstLine="0"/>
        <w:jc w:val="left"/>
      </w:pPr>
    </w:p>
    <w:p w14:paraId="1B168353" w14:textId="77777777" w:rsidR="000A181B" w:rsidRDefault="000A181B" w:rsidP="000A181B">
      <w:pPr>
        <w:spacing w:after="35"/>
        <w:ind w:right="0"/>
      </w:pPr>
      <w:r>
        <w:t xml:space="preserve">During their time at school learners will: </w:t>
      </w:r>
    </w:p>
    <w:p w14:paraId="49B8CF4F" w14:textId="77777777" w:rsidR="000A181B" w:rsidRDefault="000A181B" w:rsidP="000A181B">
      <w:pPr>
        <w:numPr>
          <w:ilvl w:val="0"/>
          <w:numId w:val="1"/>
        </w:numPr>
        <w:spacing w:after="39"/>
        <w:ind w:right="0" w:hanging="360"/>
      </w:pPr>
      <w:r>
        <w:t xml:space="preserve">Understand themselves, their interests, likes and dislikes, what they are good at and how this affects the choices they make. </w:t>
      </w:r>
    </w:p>
    <w:p w14:paraId="51F5E077" w14:textId="77777777" w:rsidR="000A181B" w:rsidRDefault="000A181B" w:rsidP="000A181B">
      <w:pPr>
        <w:numPr>
          <w:ilvl w:val="0"/>
          <w:numId w:val="1"/>
        </w:numPr>
        <w:spacing w:after="39"/>
        <w:ind w:right="0" w:hanging="360"/>
      </w:pPr>
      <w:r>
        <w:t xml:space="preserve">Find out about different courses, what qualifications they might need and what opportunities there might be. </w:t>
      </w:r>
    </w:p>
    <w:p w14:paraId="60B11C1B" w14:textId="77777777" w:rsidR="000A181B" w:rsidRDefault="000A181B" w:rsidP="000A181B">
      <w:pPr>
        <w:numPr>
          <w:ilvl w:val="0"/>
          <w:numId w:val="1"/>
        </w:numPr>
        <w:ind w:right="0" w:hanging="360"/>
      </w:pPr>
      <w:r>
        <w:t xml:space="preserve">Develop a range of skills for working life </w:t>
      </w:r>
    </w:p>
    <w:p w14:paraId="059020B6" w14:textId="77777777" w:rsidR="000A181B" w:rsidRDefault="000A181B" w:rsidP="000A181B">
      <w:pPr>
        <w:numPr>
          <w:ilvl w:val="0"/>
          <w:numId w:val="1"/>
        </w:numPr>
        <w:ind w:right="0" w:hanging="360"/>
      </w:pPr>
      <w:r>
        <w:t xml:space="preserve">Make realistic, but ambitious choices about courses and jobs. </w:t>
      </w:r>
    </w:p>
    <w:p w14:paraId="0543A4FC" w14:textId="77777777" w:rsidR="000A181B" w:rsidRDefault="000A181B" w:rsidP="000A181B">
      <w:pPr>
        <w:numPr>
          <w:ilvl w:val="0"/>
          <w:numId w:val="1"/>
        </w:numPr>
        <w:ind w:right="0" w:hanging="360"/>
      </w:pPr>
      <w:r>
        <w:t xml:space="preserve">Be able to make effective applications for jobs, training and further and higher education. </w:t>
      </w:r>
    </w:p>
    <w:p w14:paraId="0F1D1A3D" w14:textId="77777777" w:rsidR="000A181B" w:rsidRDefault="000A181B" w:rsidP="000A181B">
      <w:pPr>
        <w:numPr>
          <w:ilvl w:val="0"/>
          <w:numId w:val="1"/>
        </w:numPr>
        <w:ind w:right="0" w:hanging="360"/>
      </w:pPr>
      <w:r>
        <w:t xml:space="preserve">Develop interview skills </w:t>
      </w:r>
    </w:p>
    <w:p w14:paraId="6A843C99" w14:textId="77777777" w:rsidR="000A181B" w:rsidRDefault="000A181B" w:rsidP="000A181B">
      <w:pPr>
        <w:numPr>
          <w:ilvl w:val="0"/>
          <w:numId w:val="1"/>
        </w:numPr>
        <w:ind w:right="0" w:hanging="360"/>
      </w:pPr>
      <w:r>
        <w:t xml:space="preserve">Increase in confidence </w:t>
      </w:r>
    </w:p>
    <w:p w14:paraId="6E159A63" w14:textId="77777777" w:rsidR="000A181B" w:rsidRDefault="000A181B" w:rsidP="000A181B">
      <w:pPr>
        <w:numPr>
          <w:ilvl w:val="0"/>
          <w:numId w:val="1"/>
        </w:numPr>
        <w:ind w:right="0" w:hanging="360"/>
      </w:pPr>
      <w:r>
        <w:t xml:space="preserve">Receive high quality information, advice and guidance from suitably qualified staff. </w:t>
      </w:r>
    </w:p>
    <w:p w14:paraId="4DD0BBE1" w14:textId="77777777" w:rsidR="000A181B" w:rsidRDefault="000A181B" w:rsidP="000A181B">
      <w:pPr>
        <w:spacing w:after="0" w:line="259" w:lineRule="auto"/>
        <w:ind w:left="708" w:right="0" w:firstLine="0"/>
        <w:jc w:val="left"/>
      </w:pPr>
      <w:r>
        <w:t xml:space="preserve"> </w:t>
      </w:r>
      <w:r>
        <w:br/>
      </w:r>
    </w:p>
    <w:p w14:paraId="5BC48093" w14:textId="77777777" w:rsidR="000A181B" w:rsidRDefault="000A181B" w:rsidP="000A181B">
      <w:pPr>
        <w:spacing w:after="25" w:line="259" w:lineRule="auto"/>
        <w:ind w:left="-5" w:right="0"/>
        <w:jc w:val="left"/>
      </w:pPr>
      <w:r>
        <w:rPr>
          <w:b/>
        </w:rPr>
        <w:t xml:space="preserve">Objectives: </w:t>
      </w:r>
    </w:p>
    <w:p w14:paraId="1C857F71" w14:textId="77777777" w:rsidR="000A181B" w:rsidRDefault="000A181B" w:rsidP="000A181B">
      <w:pPr>
        <w:numPr>
          <w:ilvl w:val="0"/>
          <w:numId w:val="1"/>
        </w:numPr>
        <w:spacing w:after="39"/>
        <w:ind w:right="0" w:hanging="360"/>
      </w:pPr>
      <w:r>
        <w:t>To support pupils to be self-aware; by understanding their preferences, skills and talents pupils can make better choices</w:t>
      </w:r>
    </w:p>
    <w:p w14:paraId="4876C514" w14:textId="77777777" w:rsidR="000A181B" w:rsidRDefault="000A181B" w:rsidP="000A181B">
      <w:pPr>
        <w:numPr>
          <w:ilvl w:val="0"/>
          <w:numId w:val="1"/>
        </w:numPr>
        <w:spacing w:after="39"/>
        <w:ind w:right="0" w:hanging="360"/>
      </w:pPr>
      <w:r>
        <w:t xml:space="preserve">To give pupils the opportunity to develop employability skills and attitudes </w:t>
      </w:r>
    </w:p>
    <w:p w14:paraId="0F735E7E" w14:textId="77777777" w:rsidR="000A181B" w:rsidRDefault="000A181B" w:rsidP="000A181B">
      <w:pPr>
        <w:numPr>
          <w:ilvl w:val="0"/>
          <w:numId w:val="1"/>
        </w:numPr>
        <w:spacing w:after="39"/>
        <w:ind w:right="0" w:hanging="360"/>
      </w:pPr>
      <w:r>
        <w:t xml:space="preserve">To make pupils aware of the breadth of opportunities available to them post 16+   </w:t>
      </w:r>
    </w:p>
    <w:p w14:paraId="57FCD386" w14:textId="77777777" w:rsidR="000A181B" w:rsidRDefault="000A181B" w:rsidP="000A181B">
      <w:pPr>
        <w:numPr>
          <w:ilvl w:val="0"/>
          <w:numId w:val="1"/>
        </w:numPr>
        <w:spacing w:after="39"/>
        <w:ind w:right="0" w:hanging="360"/>
      </w:pPr>
      <w:r>
        <w:t>To provide IAG about option choices in year 9 and how they relate to post 16 progression</w:t>
      </w:r>
    </w:p>
    <w:p w14:paraId="194BAE06" w14:textId="77777777" w:rsidR="000A181B" w:rsidRDefault="000A181B" w:rsidP="000A181B">
      <w:pPr>
        <w:numPr>
          <w:ilvl w:val="0"/>
          <w:numId w:val="1"/>
        </w:numPr>
        <w:spacing w:after="39"/>
        <w:ind w:right="0" w:hanging="360"/>
      </w:pPr>
      <w:r>
        <w:t>To engage with parents as pupils make choices about progression plans</w:t>
      </w:r>
    </w:p>
    <w:p w14:paraId="075FD6B4" w14:textId="77777777" w:rsidR="000A181B" w:rsidRDefault="000A181B" w:rsidP="000A181B">
      <w:pPr>
        <w:numPr>
          <w:ilvl w:val="0"/>
          <w:numId w:val="1"/>
        </w:numPr>
        <w:spacing w:after="39"/>
        <w:ind w:right="0" w:hanging="360"/>
      </w:pPr>
      <w:r>
        <w:t xml:space="preserve">To provide appropriate up-to-date and accurate information </w:t>
      </w:r>
    </w:p>
    <w:p w14:paraId="02BC658D" w14:textId="77777777" w:rsidR="000A181B" w:rsidRDefault="000A181B" w:rsidP="000A181B">
      <w:pPr>
        <w:numPr>
          <w:ilvl w:val="0"/>
          <w:numId w:val="1"/>
        </w:numPr>
        <w:spacing w:after="39"/>
        <w:ind w:right="0" w:hanging="360"/>
      </w:pPr>
      <w:r>
        <w:t xml:space="preserve">To make forge positive links with local businesses and further/higher education establishments.  </w:t>
      </w:r>
    </w:p>
    <w:p w14:paraId="10908181" w14:textId="77777777" w:rsidR="000A181B" w:rsidRDefault="000A181B" w:rsidP="000A181B">
      <w:pPr>
        <w:numPr>
          <w:ilvl w:val="0"/>
          <w:numId w:val="1"/>
        </w:numPr>
        <w:ind w:right="0" w:hanging="360"/>
      </w:pPr>
      <w:r>
        <w:t xml:space="preserve">To enable students to experience the world of work and develop transferable skills.  </w:t>
      </w:r>
    </w:p>
    <w:p w14:paraId="12C4FCF2" w14:textId="77777777" w:rsidR="000A181B" w:rsidRDefault="000A181B" w:rsidP="000A181B">
      <w:pPr>
        <w:numPr>
          <w:ilvl w:val="0"/>
          <w:numId w:val="1"/>
        </w:numPr>
        <w:spacing w:after="39"/>
        <w:ind w:right="0" w:hanging="360"/>
      </w:pPr>
      <w:r>
        <w:t xml:space="preserve">To ensure that, all young pupils leave </w:t>
      </w:r>
      <w:proofErr w:type="spellStart"/>
      <w:r>
        <w:t>Chetwynde</w:t>
      </w:r>
      <w:proofErr w:type="spellEnd"/>
      <w:r>
        <w:t xml:space="preserve"> School to embark on suitable employment, education or training.  </w:t>
      </w:r>
    </w:p>
    <w:p w14:paraId="2A289A8B" w14:textId="77777777" w:rsidR="000A181B" w:rsidRDefault="000A181B" w:rsidP="000A181B">
      <w:pPr>
        <w:numPr>
          <w:ilvl w:val="0"/>
          <w:numId w:val="1"/>
        </w:numPr>
        <w:spacing w:after="39"/>
        <w:ind w:right="0" w:hanging="360"/>
      </w:pPr>
      <w:r>
        <w:t>To promote equality of opportunity, celebrate diversity, challenge stereotypes and ensure all students who require any extra assistance and guidance to reach their potential, such as SEN students or pupil premium students receive it.</w:t>
      </w:r>
      <w:r>
        <w:rPr>
          <w:b/>
        </w:rPr>
        <w:t xml:space="preserve"> </w:t>
      </w:r>
    </w:p>
    <w:p w14:paraId="72BD9D09" w14:textId="77777777" w:rsidR="000A181B" w:rsidRDefault="000A181B" w:rsidP="000A181B">
      <w:pPr>
        <w:numPr>
          <w:ilvl w:val="0"/>
          <w:numId w:val="1"/>
        </w:numPr>
        <w:spacing w:after="39"/>
        <w:ind w:right="0" w:hanging="360"/>
      </w:pPr>
      <w:r>
        <w:t>To give information on the range of education or training options, including apprenticeships and technical education routes.</w:t>
      </w:r>
      <w:r>
        <w:rPr>
          <w:b/>
        </w:rPr>
        <w:t xml:space="preserve"> </w:t>
      </w:r>
    </w:p>
    <w:p w14:paraId="6F3E5A9A" w14:textId="77777777" w:rsidR="000A181B" w:rsidRDefault="000A181B" w:rsidP="000A181B">
      <w:pPr>
        <w:numPr>
          <w:ilvl w:val="0"/>
          <w:numId w:val="1"/>
        </w:numPr>
        <w:spacing w:after="39"/>
        <w:ind w:right="0" w:hanging="360"/>
      </w:pPr>
      <w:r>
        <w:t>To ensure that there is an opportunity for a range of education and training providers to access all pupils in Year 7 to Year 11 for the purpose of informing them about technical education qualifications or apprenticeships.</w:t>
      </w:r>
      <w:r>
        <w:rPr>
          <w:b/>
        </w:rPr>
        <w:t xml:space="preserve"> </w:t>
      </w:r>
    </w:p>
    <w:p w14:paraId="4626BB5C" w14:textId="77777777" w:rsidR="000A181B" w:rsidRDefault="000A181B" w:rsidP="000A181B">
      <w:pPr>
        <w:numPr>
          <w:ilvl w:val="0"/>
          <w:numId w:val="1"/>
        </w:numPr>
        <w:spacing w:after="47" w:line="242" w:lineRule="auto"/>
        <w:ind w:right="0" w:hanging="360"/>
      </w:pPr>
      <w:r>
        <w:t xml:space="preserve">To develop students’ skills and knowledge of careers including career management skills and knowledge of the local labour market  </w:t>
      </w:r>
    </w:p>
    <w:p w14:paraId="56EE842C" w14:textId="77777777" w:rsidR="000A181B" w:rsidRDefault="000A181B" w:rsidP="000A181B">
      <w:pPr>
        <w:numPr>
          <w:ilvl w:val="0"/>
          <w:numId w:val="1"/>
        </w:numPr>
        <w:ind w:right="0" w:hanging="360"/>
      </w:pPr>
      <w:r>
        <w:t xml:space="preserve">To be weaved and embedded into subjects across the Curriculum. </w:t>
      </w:r>
    </w:p>
    <w:p w14:paraId="17517E54" w14:textId="77777777" w:rsidR="000A181B" w:rsidRDefault="000A181B" w:rsidP="000A181B">
      <w:pPr>
        <w:numPr>
          <w:ilvl w:val="0"/>
          <w:numId w:val="1"/>
        </w:numPr>
        <w:ind w:right="0" w:hanging="360"/>
      </w:pPr>
      <w:r>
        <w:t>To be based on the Gatsby Benchmarks for Good Career Guidance</w:t>
      </w:r>
      <w:r>
        <w:rPr>
          <w:b/>
        </w:rPr>
        <w:t xml:space="preserve"> </w:t>
      </w:r>
    </w:p>
    <w:p w14:paraId="2C681709" w14:textId="77777777" w:rsidR="000A181B" w:rsidRDefault="000A181B" w:rsidP="000A181B">
      <w:pPr>
        <w:ind w:left="705" w:right="0" w:firstLine="0"/>
      </w:pPr>
    </w:p>
    <w:p w14:paraId="304888CA" w14:textId="77777777" w:rsidR="000A181B" w:rsidRDefault="000A181B" w:rsidP="000A181B">
      <w:pPr>
        <w:spacing w:after="0" w:line="259" w:lineRule="auto"/>
        <w:ind w:left="0" w:right="0" w:firstLine="0"/>
        <w:jc w:val="left"/>
      </w:pPr>
      <w:r>
        <w:rPr>
          <w:b/>
        </w:rPr>
        <w:lastRenderedPageBreak/>
        <w:t xml:space="preserve"> </w:t>
      </w:r>
    </w:p>
    <w:p w14:paraId="69B48306" w14:textId="77777777" w:rsidR="000A181B" w:rsidRDefault="000A181B" w:rsidP="000A181B">
      <w:pPr>
        <w:spacing w:after="0" w:line="259" w:lineRule="auto"/>
        <w:ind w:left="360" w:right="0" w:firstLine="0"/>
        <w:jc w:val="left"/>
      </w:pPr>
    </w:p>
    <w:p w14:paraId="4D136E9F" w14:textId="77777777" w:rsidR="000A181B" w:rsidRDefault="000A181B" w:rsidP="000A181B">
      <w:pPr>
        <w:spacing w:after="0" w:line="259" w:lineRule="auto"/>
        <w:ind w:left="0" w:right="1159" w:firstLine="0"/>
        <w:jc w:val="right"/>
      </w:pPr>
      <w:r>
        <w:rPr>
          <w:noProof/>
        </w:rPr>
        <w:drawing>
          <wp:inline distT="0" distB="0" distL="0" distR="0" wp14:anchorId="3C619A70" wp14:editId="076E87CB">
            <wp:extent cx="4497070" cy="5372735"/>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14"/>
                    <a:stretch>
                      <a:fillRect/>
                    </a:stretch>
                  </pic:blipFill>
                  <pic:spPr>
                    <a:xfrm>
                      <a:off x="0" y="0"/>
                      <a:ext cx="4497070" cy="5372735"/>
                    </a:xfrm>
                    <a:prstGeom prst="rect">
                      <a:avLst/>
                    </a:prstGeom>
                  </pic:spPr>
                </pic:pic>
              </a:graphicData>
            </a:graphic>
          </wp:inline>
        </w:drawing>
      </w:r>
      <w:r>
        <w:rPr>
          <w:b/>
        </w:rPr>
        <w:t xml:space="preserve"> </w:t>
      </w:r>
    </w:p>
    <w:p w14:paraId="7D87A3BF" w14:textId="77777777" w:rsidR="000A181B" w:rsidRDefault="000A181B" w:rsidP="000A181B">
      <w:pPr>
        <w:spacing w:after="160" w:line="259" w:lineRule="auto"/>
        <w:ind w:left="0" w:right="0" w:firstLine="0"/>
        <w:jc w:val="left"/>
        <w:rPr>
          <w:b/>
        </w:rPr>
      </w:pPr>
      <w:r>
        <w:br w:type="page"/>
      </w:r>
    </w:p>
    <w:p w14:paraId="57A1DC5B" w14:textId="77777777" w:rsidR="000A181B" w:rsidRDefault="000A181B" w:rsidP="000A181B">
      <w:pPr>
        <w:pStyle w:val="Heading1"/>
        <w:ind w:left="-5"/>
      </w:pPr>
      <w:r>
        <w:lastRenderedPageBreak/>
        <w:t>Roles and responsibilities</w:t>
      </w:r>
    </w:p>
    <w:p w14:paraId="582A5E03" w14:textId="77777777" w:rsidR="000A181B" w:rsidRDefault="000A181B" w:rsidP="00E73690">
      <w:pPr>
        <w:ind w:left="0" w:right="0" w:firstLine="0"/>
      </w:pPr>
    </w:p>
    <w:p w14:paraId="6C65844F" w14:textId="77777777" w:rsidR="000A181B" w:rsidRDefault="000A181B" w:rsidP="00E73690">
      <w:pPr>
        <w:ind w:right="0"/>
      </w:pPr>
      <w:r>
        <w:t xml:space="preserve">Form teachers are key in supporting pupils to make informed choices that suit their preferences and unique abilities. </w:t>
      </w:r>
    </w:p>
    <w:p w14:paraId="0D91C822" w14:textId="77777777" w:rsidR="000A181B" w:rsidRDefault="000A181B" w:rsidP="000A181B">
      <w:pPr>
        <w:ind w:left="355" w:right="0"/>
      </w:pPr>
    </w:p>
    <w:p w14:paraId="2CB77687" w14:textId="77777777" w:rsidR="000A181B" w:rsidRDefault="000A181B" w:rsidP="00E73690">
      <w:pPr>
        <w:ind w:right="0"/>
      </w:pPr>
      <w:r>
        <w:t xml:space="preserve">The careers lead will support form teachers and PHSE teachers for the delivery of effective CEIAG.  </w:t>
      </w:r>
    </w:p>
    <w:p w14:paraId="154AD909" w14:textId="77777777" w:rsidR="000A181B" w:rsidRDefault="000A181B" w:rsidP="000A181B">
      <w:pPr>
        <w:ind w:left="355" w:right="0"/>
      </w:pPr>
    </w:p>
    <w:p w14:paraId="7374E663" w14:textId="77777777" w:rsidR="000A181B" w:rsidRDefault="000A181B" w:rsidP="00E73690">
      <w:pPr>
        <w:ind w:right="0"/>
      </w:pPr>
      <w:r>
        <w:t>The careers lead will update the senior management team about progress with the careers plan at weekly management meetings</w:t>
      </w:r>
    </w:p>
    <w:p w14:paraId="66B7660A" w14:textId="77777777" w:rsidR="000A181B" w:rsidRDefault="000A181B" w:rsidP="000A181B">
      <w:pPr>
        <w:ind w:left="355" w:right="0"/>
      </w:pPr>
    </w:p>
    <w:p w14:paraId="24D27410" w14:textId="77777777" w:rsidR="000A181B" w:rsidRDefault="000A181B" w:rsidP="00E73690">
      <w:pPr>
        <w:ind w:right="0"/>
      </w:pPr>
      <w:r w:rsidRPr="00E73690">
        <w:t>Governors will be updated CEIAG activities at each LGB meeting</w:t>
      </w:r>
    </w:p>
    <w:p w14:paraId="03E89D83" w14:textId="77777777" w:rsidR="000A181B" w:rsidRDefault="000A181B" w:rsidP="00E73690">
      <w:pPr>
        <w:ind w:left="0" w:right="0" w:firstLine="0"/>
        <w:rPr>
          <w:b/>
        </w:rPr>
      </w:pPr>
    </w:p>
    <w:p w14:paraId="0DEF6B08" w14:textId="77777777" w:rsidR="000A181B" w:rsidRDefault="000A181B" w:rsidP="00E73690">
      <w:pPr>
        <w:ind w:right="0"/>
        <w:rPr>
          <w:b/>
        </w:rPr>
      </w:pPr>
      <w:r>
        <w:rPr>
          <w:b/>
        </w:rPr>
        <w:t>Implementation of the Career Plan</w:t>
      </w:r>
    </w:p>
    <w:p w14:paraId="34E9CD7A" w14:textId="77777777" w:rsidR="000A181B" w:rsidRDefault="000A181B" w:rsidP="000A181B">
      <w:pPr>
        <w:ind w:left="355" w:right="0"/>
        <w:rPr>
          <w:b/>
        </w:rPr>
      </w:pPr>
    </w:p>
    <w:p w14:paraId="087C844F" w14:textId="77777777" w:rsidR="000A181B" w:rsidRDefault="000A181B" w:rsidP="000A181B">
      <w:pPr>
        <w:spacing w:after="39"/>
        <w:ind w:right="0"/>
        <w:jc w:val="left"/>
      </w:pPr>
      <w:r>
        <w:t xml:space="preserve">Pupils most at risk of becoming NEET (Not in Employment Education of Training) are identified, targeted and prioritised when scheduling one to one careers </w:t>
      </w:r>
      <w:proofErr w:type="gramStart"/>
      <w:r>
        <w:t>interviews</w:t>
      </w:r>
      <w:proofErr w:type="gramEnd"/>
      <w:r>
        <w:t xml:space="preserve">. </w:t>
      </w:r>
      <w:r>
        <w:br/>
        <w:t>The Local Authority provides careers interviews for the most vulnerable Year 11 pupils through a service-level agreement</w:t>
      </w:r>
      <w:r>
        <w:br/>
      </w:r>
    </w:p>
    <w:p w14:paraId="2BEC8D03" w14:textId="77777777" w:rsidR="000A181B" w:rsidRDefault="000A181B" w:rsidP="000A181B">
      <w:pPr>
        <w:spacing w:after="39"/>
        <w:ind w:right="0"/>
        <w:jc w:val="left"/>
      </w:pPr>
      <w:r>
        <w:t xml:space="preserve">The scheme of learning for PSHE support the delivery of CEIAG that has equal opportunities as a core value. </w:t>
      </w:r>
    </w:p>
    <w:p w14:paraId="2CEA7C6A" w14:textId="77777777" w:rsidR="000A181B" w:rsidRDefault="000A181B" w:rsidP="000A181B">
      <w:pPr>
        <w:spacing w:after="0" w:line="259" w:lineRule="auto"/>
        <w:ind w:left="206" w:right="0" w:firstLine="0"/>
        <w:jc w:val="left"/>
      </w:pPr>
      <w:r>
        <w:t xml:space="preserve"> </w:t>
      </w:r>
    </w:p>
    <w:p w14:paraId="3AB3BD8F" w14:textId="77777777" w:rsidR="000A181B" w:rsidRDefault="000A181B" w:rsidP="000A181B">
      <w:pPr>
        <w:spacing w:after="0" w:line="259" w:lineRule="auto"/>
        <w:ind w:left="0" w:right="0" w:firstLine="0"/>
        <w:jc w:val="left"/>
      </w:pPr>
      <w:r>
        <w:t xml:space="preserve">Positive partnerships with local providers are vital for good CEIAG. We seek to nurture positive links with employers and education providers. This involvement includes the provision of work experience placements, careers talks, and workplace visits. Links are also maintained with various training providers supporting apprenticeships for those pupils considering that route as an alternative to further or higher education. </w:t>
      </w:r>
    </w:p>
    <w:p w14:paraId="1C7BE2A1" w14:textId="77777777" w:rsidR="000A181B" w:rsidRDefault="000A181B" w:rsidP="000A181B">
      <w:pPr>
        <w:spacing w:after="0" w:line="259" w:lineRule="auto"/>
        <w:ind w:left="0" w:right="0" w:firstLine="0"/>
        <w:jc w:val="left"/>
      </w:pPr>
    </w:p>
    <w:p w14:paraId="57B1FF7F" w14:textId="77777777" w:rsidR="000A181B" w:rsidRDefault="000A181B" w:rsidP="000A181B">
      <w:pPr>
        <w:spacing w:after="0" w:line="259" w:lineRule="auto"/>
        <w:ind w:left="0" w:right="0" w:firstLine="0"/>
        <w:jc w:val="left"/>
      </w:pPr>
      <w:r>
        <w:t xml:space="preserve">Parents and carers are the biggest influencers on a young person’s career choices and we offer parents help and guidance at critical stages in the pupils learning journey. Key information events for parents take place in Year 9 with KS4 options decisions, Year 10 with Work Experience placements and Year 11 with 16+ choices. </w:t>
      </w:r>
    </w:p>
    <w:p w14:paraId="62A39023" w14:textId="77777777" w:rsidR="000A181B" w:rsidRDefault="000A181B" w:rsidP="000A181B">
      <w:pPr>
        <w:spacing w:after="0" w:line="259" w:lineRule="auto"/>
        <w:ind w:left="0" w:right="0" w:firstLine="0"/>
        <w:jc w:val="left"/>
      </w:pPr>
      <w:r>
        <w:t xml:space="preserve"> </w:t>
      </w:r>
    </w:p>
    <w:p w14:paraId="37DD8939" w14:textId="77777777" w:rsidR="000A181B" w:rsidRDefault="000A181B" w:rsidP="000A181B">
      <w:pPr>
        <w:spacing w:after="34"/>
        <w:ind w:right="0"/>
      </w:pPr>
      <w:r>
        <w:t xml:space="preserve">The school has strong links to local Employers </w:t>
      </w:r>
    </w:p>
    <w:p w14:paraId="48E628DF" w14:textId="77777777" w:rsidR="000A181B" w:rsidRDefault="000A181B" w:rsidP="000A181B">
      <w:pPr>
        <w:numPr>
          <w:ilvl w:val="0"/>
          <w:numId w:val="2"/>
        </w:numPr>
        <w:ind w:right="0" w:hanging="360"/>
      </w:pPr>
      <w:r>
        <w:t xml:space="preserve">BAE </w:t>
      </w:r>
    </w:p>
    <w:p w14:paraId="40BAD2B2" w14:textId="77777777" w:rsidR="000A181B" w:rsidRDefault="000A181B" w:rsidP="000A181B">
      <w:pPr>
        <w:numPr>
          <w:ilvl w:val="0"/>
          <w:numId w:val="2"/>
        </w:numPr>
        <w:ind w:right="0" w:hanging="360"/>
      </w:pPr>
      <w:r>
        <w:t xml:space="preserve">Cumbria County Council </w:t>
      </w:r>
    </w:p>
    <w:p w14:paraId="5A31CEC7" w14:textId="77777777" w:rsidR="000A181B" w:rsidRDefault="000A181B" w:rsidP="000A181B">
      <w:pPr>
        <w:numPr>
          <w:ilvl w:val="0"/>
          <w:numId w:val="2"/>
        </w:numPr>
        <w:ind w:right="0" w:hanging="360"/>
      </w:pPr>
      <w:proofErr w:type="spellStart"/>
      <w:r>
        <w:t>Inspira</w:t>
      </w:r>
      <w:proofErr w:type="spellEnd"/>
      <w:r>
        <w:t xml:space="preserve"> </w:t>
      </w:r>
    </w:p>
    <w:p w14:paraId="43D69982" w14:textId="77777777" w:rsidR="000A181B" w:rsidRDefault="000A181B" w:rsidP="000A181B">
      <w:pPr>
        <w:numPr>
          <w:ilvl w:val="0"/>
          <w:numId w:val="2"/>
        </w:numPr>
        <w:ind w:right="0" w:hanging="360"/>
      </w:pPr>
      <w:r>
        <w:t xml:space="preserve">Gen 2 </w:t>
      </w:r>
    </w:p>
    <w:p w14:paraId="1ACBFBAD" w14:textId="77777777" w:rsidR="000A181B" w:rsidRDefault="000A181B" w:rsidP="000A181B">
      <w:pPr>
        <w:numPr>
          <w:ilvl w:val="0"/>
          <w:numId w:val="2"/>
        </w:numPr>
        <w:ind w:right="0" w:hanging="360"/>
      </w:pPr>
      <w:r>
        <w:t xml:space="preserve">GlaxoSmithKline </w:t>
      </w:r>
    </w:p>
    <w:p w14:paraId="1E82E175" w14:textId="77777777" w:rsidR="000A181B" w:rsidRDefault="000A181B" w:rsidP="000A181B">
      <w:pPr>
        <w:spacing w:after="36"/>
        <w:ind w:left="730" w:right="0"/>
      </w:pPr>
      <w:r>
        <w:t xml:space="preserve">NHS </w:t>
      </w:r>
    </w:p>
    <w:p w14:paraId="1E101588" w14:textId="77777777" w:rsidR="000A181B" w:rsidRDefault="000A181B" w:rsidP="000A181B">
      <w:pPr>
        <w:numPr>
          <w:ilvl w:val="0"/>
          <w:numId w:val="2"/>
        </w:numPr>
        <w:ind w:right="0" w:hanging="360"/>
      </w:pPr>
      <w:r>
        <w:t xml:space="preserve">Oxley </w:t>
      </w:r>
    </w:p>
    <w:p w14:paraId="6A16B594" w14:textId="77777777" w:rsidR="000A181B" w:rsidRDefault="000A181B" w:rsidP="000A181B">
      <w:pPr>
        <w:numPr>
          <w:ilvl w:val="0"/>
          <w:numId w:val="2"/>
        </w:numPr>
        <w:ind w:right="0" w:hanging="360"/>
      </w:pPr>
      <w:r>
        <w:t xml:space="preserve">Sellafield  </w:t>
      </w:r>
    </w:p>
    <w:p w14:paraId="0440F14B" w14:textId="77777777" w:rsidR="000A181B" w:rsidRDefault="000A181B" w:rsidP="000A181B">
      <w:pPr>
        <w:numPr>
          <w:ilvl w:val="0"/>
          <w:numId w:val="2"/>
        </w:numPr>
        <w:ind w:right="0" w:hanging="360"/>
      </w:pPr>
      <w:r>
        <w:t xml:space="preserve">Siemens </w:t>
      </w:r>
    </w:p>
    <w:p w14:paraId="4A758DC2" w14:textId="77777777" w:rsidR="000A181B" w:rsidRDefault="000A181B" w:rsidP="000A181B">
      <w:pPr>
        <w:spacing w:after="0" w:line="259" w:lineRule="auto"/>
        <w:ind w:left="0" w:right="0" w:firstLine="0"/>
        <w:jc w:val="left"/>
      </w:pPr>
      <w:r>
        <w:lastRenderedPageBreak/>
        <w:t xml:space="preserve"> </w:t>
      </w:r>
    </w:p>
    <w:p w14:paraId="1ACC1835" w14:textId="77777777" w:rsidR="000A181B" w:rsidRDefault="000A181B" w:rsidP="000A181B">
      <w:pPr>
        <w:ind w:right="0"/>
      </w:pPr>
      <w:proofErr w:type="spellStart"/>
      <w:r>
        <w:t>Chetwydne</w:t>
      </w:r>
      <w:proofErr w:type="spellEnd"/>
      <w:r>
        <w:t xml:space="preserve"> School aims to host an annual careers fair for key stage 4 pupils and parents. </w:t>
      </w:r>
    </w:p>
    <w:p w14:paraId="22C95CBB" w14:textId="77777777" w:rsidR="000A181B" w:rsidRDefault="000A181B" w:rsidP="000A181B">
      <w:pPr>
        <w:spacing w:after="0" w:line="259" w:lineRule="auto"/>
        <w:ind w:left="0" w:right="0" w:firstLine="0"/>
        <w:jc w:val="left"/>
      </w:pPr>
      <w:r>
        <w:t xml:space="preserve"> </w:t>
      </w:r>
    </w:p>
    <w:p w14:paraId="21F7439C" w14:textId="646CD7F3" w:rsidR="000A181B" w:rsidRDefault="000A181B" w:rsidP="000A181B">
      <w:pPr>
        <w:ind w:left="360" w:right="3774" w:hanging="360"/>
      </w:pPr>
      <w:r>
        <w:t>We have links to the following local education providers:</w:t>
      </w:r>
      <w:r>
        <w:br/>
      </w:r>
      <w:r>
        <w:br/>
      </w:r>
      <w:r>
        <w:rPr>
          <w:rFonts w:ascii="Segoe UI Symbol" w:eastAsia="Segoe UI Symbol" w:hAnsi="Segoe UI Symbol" w:cs="Segoe UI Symbol"/>
        </w:rPr>
        <w:t>•</w:t>
      </w:r>
      <w:r>
        <w:rPr>
          <w:rFonts w:ascii="Arial" w:eastAsia="Arial" w:hAnsi="Arial" w:cs="Arial"/>
        </w:rPr>
        <w:t xml:space="preserve"> </w:t>
      </w:r>
      <w:r w:rsidR="00E73690">
        <w:rPr>
          <w:rFonts w:ascii="Arial" w:eastAsia="Arial" w:hAnsi="Arial" w:cs="Arial"/>
        </w:rPr>
        <w:t xml:space="preserve">  </w:t>
      </w:r>
      <w:r>
        <w:t xml:space="preserve">Furness College (including Barrow sixth form) </w:t>
      </w:r>
    </w:p>
    <w:p w14:paraId="25E96AB3" w14:textId="77777777" w:rsidR="000A181B" w:rsidRDefault="000A181B" w:rsidP="000A181B">
      <w:pPr>
        <w:numPr>
          <w:ilvl w:val="0"/>
          <w:numId w:val="2"/>
        </w:numPr>
        <w:ind w:right="0" w:hanging="360"/>
      </w:pPr>
      <w:r>
        <w:t xml:space="preserve">UVHS </w:t>
      </w:r>
    </w:p>
    <w:p w14:paraId="06AF2342" w14:textId="77777777" w:rsidR="000A181B" w:rsidRDefault="000A181B" w:rsidP="000A181B">
      <w:pPr>
        <w:numPr>
          <w:ilvl w:val="0"/>
          <w:numId w:val="2"/>
        </w:numPr>
        <w:ind w:right="0" w:hanging="360"/>
      </w:pPr>
      <w:r>
        <w:t xml:space="preserve">Kendal College </w:t>
      </w:r>
    </w:p>
    <w:p w14:paraId="07E8405F" w14:textId="77777777" w:rsidR="000A181B" w:rsidRDefault="000A181B" w:rsidP="000A181B">
      <w:pPr>
        <w:numPr>
          <w:ilvl w:val="0"/>
          <w:numId w:val="2"/>
        </w:numPr>
        <w:ind w:right="0" w:hanging="360"/>
      </w:pPr>
      <w:r>
        <w:t xml:space="preserve">Lancaster and Morecambe College </w:t>
      </w:r>
    </w:p>
    <w:p w14:paraId="73FA221F" w14:textId="77777777" w:rsidR="000A181B" w:rsidRDefault="000A181B" w:rsidP="000A181B">
      <w:pPr>
        <w:numPr>
          <w:ilvl w:val="0"/>
          <w:numId w:val="2"/>
        </w:numPr>
        <w:ind w:right="0" w:hanging="360"/>
      </w:pPr>
      <w:r>
        <w:t xml:space="preserve">Russel Group Universities </w:t>
      </w:r>
    </w:p>
    <w:p w14:paraId="5DFC0681" w14:textId="77777777" w:rsidR="000A181B" w:rsidRDefault="000A181B" w:rsidP="000A181B">
      <w:pPr>
        <w:numPr>
          <w:ilvl w:val="0"/>
          <w:numId w:val="2"/>
        </w:numPr>
        <w:ind w:right="0" w:hanging="360"/>
      </w:pPr>
      <w:r>
        <w:t xml:space="preserve">UCLAN (University of Central Lancashire) </w:t>
      </w:r>
    </w:p>
    <w:p w14:paraId="28927DD3" w14:textId="77777777" w:rsidR="000A181B" w:rsidRDefault="000A181B" w:rsidP="000A181B">
      <w:pPr>
        <w:numPr>
          <w:ilvl w:val="0"/>
          <w:numId w:val="2"/>
        </w:numPr>
        <w:ind w:right="0" w:hanging="360"/>
      </w:pPr>
      <w:r>
        <w:t>Oxford University</w:t>
      </w:r>
    </w:p>
    <w:p w14:paraId="530F0DE0" w14:textId="3EA56D5A" w:rsidR="000A181B" w:rsidRDefault="000A181B" w:rsidP="000A181B">
      <w:pPr>
        <w:spacing w:after="0" w:line="259" w:lineRule="auto"/>
        <w:ind w:left="0" w:right="0" w:firstLine="0"/>
        <w:jc w:val="left"/>
      </w:pPr>
      <w:r>
        <w:t xml:space="preserve"> </w:t>
      </w:r>
    </w:p>
    <w:p w14:paraId="039424BE" w14:textId="77777777" w:rsidR="000A181B" w:rsidRPr="00CF4A88" w:rsidRDefault="000A181B" w:rsidP="000A181B">
      <w:pPr>
        <w:pStyle w:val="Heading1"/>
        <w:ind w:left="-5"/>
        <w:rPr>
          <w:b w:val="0"/>
        </w:rPr>
      </w:pPr>
      <w:r w:rsidRPr="00CF4A88">
        <w:rPr>
          <w:b w:val="0"/>
        </w:rPr>
        <w:t xml:space="preserve">Staff Development needs are identified through performance management, staff appraisals and line manager </w:t>
      </w:r>
      <w:proofErr w:type="gramStart"/>
      <w:r w:rsidRPr="00CF4A88">
        <w:rPr>
          <w:b w:val="0"/>
        </w:rPr>
        <w:t>meetings .</w:t>
      </w:r>
      <w:proofErr w:type="gramEnd"/>
      <w:r w:rsidRPr="00CF4A88">
        <w:rPr>
          <w:b w:val="0"/>
        </w:rPr>
        <w:t xml:space="preserve"> CPD is offered to relevant staff as opportunities arise.  The Careers Lead attends local and regional careers network meetings to share good practice with other local secondary schools and careers providers.  </w:t>
      </w:r>
    </w:p>
    <w:p w14:paraId="655242BF" w14:textId="77777777" w:rsidR="000A181B" w:rsidRDefault="000A181B" w:rsidP="000A181B">
      <w:pPr>
        <w:spacing w:after="0" w:line="259" w:lineRule="auto"/>
        <w:ind w:left="0" w:right="0" w:firstLine="0"/>
        <w:jc w:val="left"/>
      </w:pPr>
      <w:r>
        <w:t xml:space="preserve"> </w:t>
      </w:r>
    </w:p>
    <w:p w14:paraId="1FD77C4B" w14:textId="77777777" w:rsidR="000A181B" w:rsidRPr="00CF4A88" w:rsidRDefault="000A181B" w:rsidP="000A181B">
      <w:pPr>
        <w:pStyle w:val="Heading1"/>
        <w:ind w:left="-5"/>
        <w:rPr>
          <w:b w:val="0"/>
        </w:rPr>
      </w:pPr>
      <w:r w:rsidRPr="00CF4A88">
        <w:rPr>
          <w:b w:val="0"/>
        </w:rPr>
        <w:t xml:space="preserve">The </w:t>
      </w:r>
      <w:r w:rsidRPr="000A181B">
        <w:t>Careers Plan</w:t>
      </w:r>
      <w:r w:rsidRPr="00CF4A88">
        <w:rPr>
          <w:b w:val="0"/>
        </w:rPr>
        <w:t xml:space="preserve"> is published on the school websites and is updated frequently. </w:t>
      </w:r>
    </w:p>
    <w:p w14:paraId="1F9DE42F" w14:textId="6B60FAFF" w:rsidR="000A181B" w:rsidRDefault="000A181B" w:rsidP="000A181B">
      <w:pPr>
        <w:spacing w:after="0" w:line="259" w:lineRule="auto"/>
        <w:ind w:left="0" w:right="0" w:firstLine="0"/>
        <w:jc w:val="left"/>
      </w:pPr>
      <w:r>
        <w:rPr>
          <w:b/>
        </w:rPr>
        <w:t xml:space="preserve">  </w:t>
      </w:r>
    </w:p>
    <w:p w14:paraId="0747B445" w14:textId="77777777" w:rsidR="000A181B" w:rsidRDefault="000A181B" w:rsidP="000A181B">
      <w:pPr>
        <w:pStyle w:val="Heading1"/>
        <w:ind w:left="-5"/>
      </w:pPr>
      <w:r>
        <w:t xml:space="preserve">Measuring the impact of CEIAG </w:t>
      </w:r>
    </w:p>
    <w:p w14:paraId="64DB82B2" w14:textId="77777777" w:rsidR="000A181B" w:rsidRDefault="000A181B" w:rsidP="000A181B">
      <w:pPr>
        <w:spacing w:after="0" w:line="259" w:lineRule="auto"/>
        <w:ind w:left="0" w:right="0" w:firstLine="0"/>
        <w:jc w:val="left"/>
      </w:pPr>
      <w:r>
        <w:rPr>
          <w:b/>
        </w:rPr>
        <w:t xml:space="preserve"> </w:t>
      </w:r>
    </w:p>
    <w:p w14:paraId="5431D961" w14:textId="77777777" w:rsidR="000A181B" w:rsidRDefault="000A181B" w:rsidP="000A181B">
      <w:pPr>
        <w:ind w:right="0"/>
      </w:pPr>
      <w:r>
        <w:t>Regular monitoring and evaluation take place to inform future planning and identify current needs. Tracking is supported by the use of Compass +</w:t>
      </w:r>
      <w:proofErr w:type="gramStart"/>
      <w:r>
        <w:t>+ .</w:t>
      </w:r>
      <w:proofErr w:type="gramEnd"/>
    </w:p>
    <w:p w14:paraId="176D3B9A" w14:textId="77777777" w:rsidR="000A181B" w:rsidRDefault="000A181B" w:rsidP="000A181B">
      <w:pPr>
        <w:spacing w:after="0" w:line="259" w:lineRule="auto"/>
        <w:ind w:left="0" w:right="0" w:firstLine="0"/>
        <w:jc w:val="left"/>
      </w:pPr>
      <w:r>
        <w:t xml:space="preserve"> </w:t>
      </w:r>
    </w:p>
    <w:p w14:paraId="549442DC" w14:textId="77777777" w:rsidR="000A181B" w:rsidRDefault="000A181B" w:rsidP="000A181B">
      <w:pPr>
        <w:spacing w:after="39"/>
        <w:ind w:right="0"/>
      </w:pPr>
      <w:r>
        <w:t xml:space="preserve">Monitoring activities used to ensure that the careers programme is being implemented as planned include: </w:t>
      </w:r>
    </w:p>
    <w:p w14:paraId="56D5C970" w14:textId="77777777" w:rsidR="000A181B" w:rsidRDefault="000A181B" w:rsidP="000A181B">
      <w:pPr>
        <w:numPr>
          <w:ilvl w:val="0"/>
          <w:numId w:val="3"/>
        </w:numPr>
        <w:ind w:right="0" w:hanging="360"/>
      </w:pPr>
      <w:r>
        <w:t>Learning walks</w:t>
      </w:r>
    </w:p>
    <w:p w14:paraId="629DAD85" w14:textId="77777777" w:rsidR="000A181B" w:rsidRDefault="000A181B" w:rsidP="000A181B">
      <w:pPr>
        <w:numPr>
          <w:ilvl w:val="0"/>
          <w:numId w:val="3"/>
        </w:numPr>
        <w:ind w:right="0" w:hanging="360"/>
      </w:pPr>
      <w:r>
        <w:t xml:space="preserve">Careers booklet checks </w:t>
      </w:r>
    </w:p>
    <w:p w14:paraId="5616AD5E" w14:textId="77777777" w:rsidR="000A181B" w:rsidRDefault="000A181B" w:rsidP="000A181B">
      <w:pPr>
        <w:numPr>
          <w:ilvl w:val="0"/>
          <w:numId w:val="3"/>
        </w:numPr>
        <w:ind w:right="0" w:hanging="360"/>
      </w:pPr>
      <w:r>
        <w:t xml:space="preserve">Lesson observations  </w:t>
      </w:r>
    </w:p>
    <w:p w14:paraId="3F05D820" w14:textId="77777777" w:rsidR="000A181B" w:rsidRDefault="000A181B" w:rsidP="000A181B">
      <w:pPr>
        <w:numPr>
          <w:ilvl w:val="0"/>
          <w:numId w:val="3"/>
        </w:numPr>
        <w:ind w:right="0" w:hanging="360"/>
      </w:pPr>
      <w:r>
        <w:t xml:space="preserve">Questionnaires – students, staff, parents and carers, external partners </w:t>
      </w:r>
    </w:p>
    <w:p w14:paraId="0014B270" w14:textId="38CAA2FF" w:rsidR="000A181B" w:rsidRDefault="000A181B" w:rsidP="00E73690">
      <w:pPr>
        <w:numPr>
          <w:ilvl w:val="0"/>
          <w:numId w:val="3"/>
        </w:numPr>
        <w:ind w:right="0" w:hanging="360"/>
      </w:pPr>
      <w:r>
        <w:t xml:space="preserve">Collection of destination data  </w:t>
      </w:r>
    </w:p>
    <w:p w14:paraId="350E1980" w14:textId="77777777" w:rsidR="000A181B" w:rsidRDefault="000A181B" w:rsidP="000A181B">
      <w:pPr>
        <w:spacing w:after="0" w:line="259" w:lineRule="auto"/>
        <w:ind w:left="0" w:right="0" w:firstLine="0"/>
        <w:jc w:val="left"/>
      </w:pPr>
      <w:r>
        <w:t xml:space="preserve"> </w:t>
      </w:r>
    </w:p>
    <w:p w14:paraId="78F520C9" w14:textId="77777777" w:rsidR="000A181B" w:rsidRDefault="000A181B" w:rsidP="000A181B">
      <w:pPr>
        <w:spacing w:after="39"/>
        <w:ind w:right="0"/>
      </w:pPr>
      <w:r>
        <w:t xml:space="preserve">Evaluation activities include: </w:t>
      </w:r>
    </w:p>
    <w:p w14:paraId="6EF7ABF6" w14:textId="77777777" w:rsidR="000A181B" w:rsidRDefault="000A181B" w:rsidP="000A181B">
      <w:pPr>
        <w:numPr>
          <w:ilvl w:val="0"/>
          <w:numId w:val="3"/>
        </w:numPr>
        <w:ind w:right="0" w:hanging="360"/>
      </w:pPr>
      <w:r>
        <w:t xml:space="preserve">Analysis of destination data </w:t>
      </w:r>
    </w:p>
    <w:p w14:paraId="2E8D00C4" w14:textId="77777777" w:rsidR="000A181B" w:rsidRDefault="000A181B" w:rsidP="000A181B">
      <w:pPr>
        <w:numPr>
          <w:ilvl w:val="0"/>
          <w:numId w:val="3"/>
        </w:numPr>
        <w:ind w:right="0" w:hanging="360"/>
      </w:pPr>
      <w:r>
        <w:t xml:space="preserve">Analysis of data from questionnaires – students, staff, parents and carers, external partners </w:t>
      </w:r>
    </w:p>
    <w:p w14:paraId="7263378A" w14:textId="77777777" w:rsidR="000A181B" w:rsidRDefault="000A181B" w:rsidP="000A181B">
      <w:pPr>
        <w:numPr>
          <w:ilvl w:val="0"/>
          <w:numId w:val="3"/>
        </w:numPr>
        <w:ind w:right="0" w:hanging="360"/>
      </w:pPr>
      <w:r>
        <w:t xml:space="preserve">Student learner experience groups   </w:t>
      </w:r>
    </w:p>
    <w:p w14:paraId="6356AF41" w14:textId="77777777" w:rsidR="000A181B" w:rsidRDefault="000A181B" w:rsidP="000A181B">
      <w:pPr>
        <w:spacing w:after="0" w:line="259" w:lineRule="auto"/>
        <w:ind w:left="0" w:right="0" w:firstLine="0"/>
        <w:jc w:val="left"/>
      </w:pPr>
      <w:r>
        <w:t xml:space="preserve"> </w:t>
      </w:r>
    </w:p>
    <w:p w14:paraId="4C3635F8" w14:textId="288671AF" w:rsidR="00894F35" w:rsidRDefault="000A181B" w:rsidP="00E73690">
      <w:pPr>
        <w:ind w:right="0"/>
      </w:pPr>
      <w:r>
        <w:t>The effectiveness of our CEIAG will be evident in the quality of destinations achieved by pupils leaving school after Year 11.</w:t>
      </w:r>
      <w:r w:rsidR="00E73690">
        <w:t xml:space="preserve">  </w:t>
      </w:r>
      <w:r>
        <w:t>Destination data (</w:t>
      </w:r>
      <w:proofErr w:type="spellStart"/>
      <w:r>
        <w:t>Dfe</w:t>
      </w:r>
      <w:proofErr w:type="spellEnd"/>
      <w:r>
        <w:t xml:space="preserve">) is used to assess how successfully students make the transition into the next stage of education or training, or into employment and to inform future careers provision.   </w:t>
      </w:r>
      <w:bookmarkStart w:id="0" w:name="_GoBack"/>
      <w:bookmarkEnd w:id="0"/>
    </w:p>
    <w:sectPr w:rsidR="00894F35">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FB0A0" w14:textId="77777777" w:rsidR="00000000" w:rsidRDefault="00E73690">
      <w:pPr>
        <w:spacing w:after="0" w:line="240" w:lineRule="auto"/>
      </w:pPr>
      <w:r>
        <w:separator/>
      </w:r>
    </w:p>
  </w:endnote>
  <w:endnote w:type="continuationSeparator" w:id="0">
    <w:p w14:paraId="740676A6" w14:textId="77777777" w:rsidR="00000000" w:rsidRDefault="00E7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4CEB" w14:textId="11911C36" w:rsidR="00E73690" w:rsidRPr="007D58CC" w:rsidRDefault="00E73690" w:rsidP="00E73690">
    <w:pPr>
      <w:tabs>
        <w:tab w:val="center" w:pos="4513"/>
        <w:tab w:val="right" w:pos="9026"/>
      </w:tabs>
      <w:spacing w:after="0"/>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7F11" w14:textId="77777777" w:rsidR="00000000" w:rsidRDefault="00E73690">
      <w:pPr>
        <w:spacing w:after="0" w:line="240" w:lineRule="auto"/>
      </w:pPr>
      <w:r>
        <w:separator/>
      </w:r>
    </w:p>
  </w:footnote>
  <w:footnote w:type="continuationSeparator" w:id="0">
    <w:p w14:paraId="6B09290B" w14:textId="77777777" w:rsidR="00000000" w:rsidRDefault="00E73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746A" w14:textId="77777777" w:rsidR="00E73690" w:rsidRDefault="00E73690" w:rsidP="00302D24">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58476" w14:textId="77777777" w:rsidR="00CA355C" w:rsidRDefault="00E7369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DD2F" w14:textId="77777777" w:rsidR="00CA355C" w:rsidRDefault="00E73690">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7F0B" w14:textId="77777777" w:rsidR="00CA355C" w:rsidRDefault="00E7369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6394B"/>
    <w:multiLevelType w:val="multilevel"/>
    <w:tmpl w:val="50122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461B7"/>
    <w:multiLevelType w:val="multilevel"/>
    <w:tmpl w:val="F0D0E5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1926B4"/>
    <w:multiLevelType w:val="multilevel"/>
    <w:tmpl w:val="E7DEC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C11408"/>
    <w:multiLevelType w:val="multilevel"/>
    <w:tmpl w:val="4E2A2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123F81"/>
    <w:multiLevelType w:val="multilevel"/>
    <w:tmpl w:val="E2741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5D525F"/>
    <w:multiLevelType w:val="hybridMultilevel"/>
    <w:tmpl w:val="A0E04BB0"/>
    <w:lvl w:ilvl="0" w:tplc="F4DADF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2A03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C66B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A5B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814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B89B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5083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32CC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AA16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5B2137"/>
    <w:multiLevelType w:val="multilevel"/>
    <w:tmpl w:val="EAFEAE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2440FC"/>
    <w:multiLevelType w:val="multilevel"/>
    <w:tmpl w:val="9C063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8C1924"/>
    <w:multiLevelType w:val="multilevel"/>
    <w:tmpl w:val="587E5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17877"/>
    <w:multiLevelType w:val="hybridMultilevel"/>
    <w:tmpl w:val="93220FA4"/>
    <w:lvl w:ilvl="0" w:tplc="482E666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8815F8">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E214B8">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A25FF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A8B39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B09C2E">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3E8C7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148184">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BA403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C3F05AB"/>
    <w:multiLevelType w:val="multilevel"/>
    <w:tmpl w:val="6428F2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572A59"/>
    <w:multiLevelType w:val="multilevel"/>
    <w:tmpl w:val="B2AE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A046C8"/>
    <w:multiLevelType w:val="multilevel"/>
    <w:tmpl w:val="7846A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5F4EB2"/>
    <w:multiLevelType w:val="hybridMultilevel"/>
    <w:tmpl w:val="77543D0E"/>
    <w:lvl w:ilvl="0" w:tplc="AE3EED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6E27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D20D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644E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7CB3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B2BB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225F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1E4D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AAB3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3"/>
  </w:num>
  <w:num w:numId="3">
    <w:abstractNumId w:val="9"/>
  </w:num>
  <w:num w:numId="4">
    <w:abstractNumId w:val="11"/>
  </w:num>
  <w:num w:numId="5">
    <w:abstractNumId w:val="12"/>
  </w:num>
  <w:num w:numId="6">
    <w:abstractNumId w:val="8"/>
  </w:num>
  <w:num w:numId="7">
    <w:abstractNumId w:val="3"/>
  </w:num>
  <w:num w:numId="8">
    <w:abstractNumId w:val="0"/>
  </w:num>
  <w:num w:numId="9">
    <w:abstractNumId w:val="2"/>
  </w:num>
  <w:num w:numId="10">
    <w:abstractNumId w:val="10"/>
  </w:num>
  <w:num w:numId="11">
    <w:abstractNumId w:val="4"/>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1B"/>
    <w:rsid w:val="000A181B"/>
    <w:rsid w:val="00894F35"/>
    <w:rsid w:val="00E73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8312"/>
  <w15:chartTrackingRefBased/>
  <w15:docId w15:val="{1E476AA3-81EF-40C3-B297-A18C4BEE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81B"/>
    <w:pPr>
      <w:spacing w:after="5" w:line="250" w:lineRule="auto"/>
      <w:ind w:left="10" w:right="1" w:hanging="10"/>
      <w:jc w:val="both"/>
    </w:pPr>
    <w:rPr>
      <w:rFonts w:ascii="Calibri" w:eastAsia="Calibri" w:hAnsi="Calibri" w:cs="Calibri"/>
      <w:color w:val="000000"/>
      <w:sz w:val="24"/>
      <w:lang w:eastAsia="en-GB"/>
    </w:rPr>
  </w:style>
  <w:style w:type="paragraph" w:styleId="Heading1">
    <w:name w:val="heading 1"/>
    <w:next w:val="Normal"/>
    <w:link w:val="Heading1Char"/>
    <w:uiPriority w:val="9"/>
    <w:qFormat/>
    <w:rsid w:val="000A181B"/>
    <w:pPr>
      <w:keepNext/>
      <w:keepLines/>
      <w:spacing w:after="3"/>
      <w:ind w:left="10" w:hanging="10"/>
      <w:outlineLvl w:val="0"/>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81B"/>
    <w:rPr>
      <w:rFonts w:ascii="Calibri" w:eastAsia="Calibri" w:hAnsi="Calibri" w:cs="Calibri"/>
      <w:b/>
      <w:color w:val="000000"/>
      <w:sz w:val="24"/>
      <w:lang w:eastAsia="en-GB"/>
    </w:rPr>
  </w:style>
  <w:style w:type="paragraph" w:customStyle="1" w:styleId="paragraph">
    <w:name w:val="paragraph"/>
    <w:basedOn w:val="Normal"/>
    <w:rsid w:val="000A181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DefaultParagraphFont"/>
    <w:rsid w:val="000A181B"/>
  </w:style>
  <w:style w:type="character" w:customStyle="1" w:styleId="eop">
    <w:name w:val="eop"/>
    <w:basedOn w:val="DefaultParagraphFont"/>
    <w:rsid w:val="000A181B"/>
  </w:style>
  <w:style w:type="character" w:customStyle="1" w:styleId="tabchar">
    <w:name w:val="tabchar"/>
    <w:basedOn w:val="DefaultParagraphFont"/>
    <w:rsid w:val="000A181B"/>
  </w:style>
  <w:style w:type="paragraph" w:styleId="Header">
    <w:name w:val="header"/>
    <w:basedOn w:val="Normal"/>
    <w:link w:val="HeaderChar"/>
    <w:uiPriority w:val="99"/>
    <w:unhideWhenUsed/>
    <w:rsid w:val="00E73690"/>
    <w:pPr>
      <w:tabs>
        <w:tab w:val="center" w:pos="4513"/>
        <w:tab w:val="right" w:pos="9026"/>
      </w:tabs>
      <w:spacing w:after="120" w:line="240" w:lineRule="auto"/>
      <w:ind w:left="737" w:right="0" w:firstLine="0"/>
      <w:jc w:val="left"/>
    </w:pPr>
    <w:rPr>
      <w:rFonts w:eastAsia="Times New Roman" w:cs="Times New Roman"/>
      <w:color w:val="auto"/>
      <w:sz w:val="22"/>
      <w:szCs w:val="20"/>
      <w:lang w:eastAsia="en-US"/>
    </w:rPr>
  </w:style>
  <w:style w:type="character" w:customStyle="1" w:styleId="HeaderChar">
    <w:name w:val="Header Char"/>
    <w:basedOn w:val="DefaultParagraphFont"/>
    <w:link w:val="Header"/>
    <w:uiPriority w:val="99"/>
    <w:rsid w:val="00E73690"/>
    <w:rPr>
      <w:rFonts w:ascii="Calibri" w:eastAsia="Times New Roman" w:hAnsi="Calibri" w:cs="Times New Roman"/>
      <w:szCs w:val="20"/>
    </w:rPr>
  </w:style>
  <w:style w:type="table" w:styleId="TableGrid">
    <w:name w:val="Table Grid"/>
    <w:basedOn w:val="TableNormal"/>
    <w:uiPriority w:val="59"/>
    <w:rsid w:val="00E7369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73690"/>
    <w:pPr>
      <w:spacing w:after="120" w:line="240" w:lineRule="auto"/>
      <w:ind w:left="737" w:right="0" w:firstLine="0"/>
      <w:jc w:val="center"/>
    </w:pPr>
    <w:rPr>
      <w:rFonts w:ascii="Times New Roman" w:eastAsia="Times New Roman" w:hAnsi="Times New Roman" w:cs="Times New Roman"/>
      <w:b/>
      <w:bCs/>
      <w:color w:val="auto"/>
      <w:szCs w:val="24"/>
      <w:lang w:eastAsia="en-US"/>
    </w:rPr>
  </w:style>
  <w:style w:type="character" w:customStyle="1" w:styleId="TitleChar">
    <w:name w:val="Title Char"/>
    <w:basedOn w:val="DefaultParagraphFont"/>
    <w:link w:val="Title"/>
    <w:rsid w:val="00E73690"/>
    <w:rPr>
      <w:rFonts w:ascii="Times New Roman" w:eastAsia="Times New Roman" w:hAnsi="Times New Roman" w:cs="Times New Roman"/>
      <w:b/>
      <w:bCs/>
      <w:sz w:val="24"/>
      <w:szCs w:val="24"/>
    </w:rPr>
  </w:style>
  <w:style w:type="character" w:styleId="Hyperlink">
    <w:name w:val="Hyperlink"/>
    <w:uiPriority w:val="99"/>
    <w:unhideWhenUsed/>
    <w:rsid w:val="00E73690"/>
    <w:rPr>
      <w:color w:val="0000FF"/>
      <w:u w:val="single"/>
    </w:rPr>
  </w:style>
  <w:style w:type="paragraph" w:styleId="Footer">
    <w:name w:val="footer"/>
    <w:basedOn w:val="Normal"/>
    <w:link w:val="FooterChar"/>
    <w:uiPriority w:val="99"/>
    <w:unhideWhenUsed/>
    <w:rsid w:val="00E7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690"/>
    <w:rPr>
      <w:rFonts w:ascii="Calibri" w:eastAsia="Calibri" w:hAnsi="Calibri" w:cs="Calibri"/>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104209">
      <w:bodyDiv w:val="1"/>
      <w:marLeft w:val="0"/>
      <w:marRight w:val="0"/>
      <w:marTop w:val="0"/>
      <w:marBottom w:val="0"/>
      <w:divBdr>
        <w:top w:val="none" w:sz="0" w:space="0" w:color="auto"/>
        <w:left w:val="none" w:sz="0" w:space="0" w:color="auto"/>
        <w:bottom w:val="none" w:sz="0" w:space="0" w:color="auto"/>
        <w:right w:val="none" w:sz="0" w:space="0" w:color="auto"/>
      </w:divBdr>
      <w:divsChild>
        <w:div w:id="408842489">
          <w:marLeft w:val="0"/>
          <w:marRight w:val="0"/>
          <w:marTop w:val="0"/>
          <w:marBottom w:val="0"/>
          <w:divBdr>
            <w:top w:val="none" w:sz="0" w:space="0" w:color="auto"/>
            <w:left w:val="none" w:sz="0" w:space="0" w:color="auto"/>
            <w:bottom w:val="none" w:sz="0" w:space="0" w:color="auto"/>
            <w:right w:val="none" w:sz="0" w:space="0" w:color="auto"/>
          </w:divBdr>
        </w:div>
        <w:div w:id="545071842">
          <w:marLeft w:val="0"/>
          <w:marRight w:val="0"/>
          <w:marTop w:val="0"/>
          <w:marBottom w:val="0"/>
          <w:divBdr>
            <w:top w:val="none" w:sz="0" w:space="0" w:color="auto"/>
            <w:left w:val="none" w:sz="0" w:space="0" w:color="auto"/>
            <w:bottom w:val="none" w:sz="0" w:space="0" w:color="auto"/>
            <w:right w:val="none" w:sz="0" w:space="0" w:color="auto"/>
          </w:divBdr>
        </w:div>
        <w:div w:id="1456680579">
          <w:marLeft w:val="0"/>
          <w:marRight w:val="0"/>
          <w:marTop w:val="0"/>
          <w:marBottom w:val="0"/>
          <w:divBdr>
            <w:top w:val="none" w:sz="0" w:space="0" w:color="auto"/>
            <w:left w:val="none" w:sz="0" w:space="0" w:color="auto"/>
            <w:bottom w:val="none" w:sz="0" w:space="0" w:color="auto"/>
            <w:right w:val="none" w:sz="0" w:space="0" w:color="auto"/>
          </w:divBdr>
        </w:div>
        <w:div w:id="2139758508">
          <w:marLeft w:val="0"/>
          <w:marRight w:val="0"/>
          <w:marTop w:val="0"/>
          <w:marBottom w:val="0"/>
          <w:divBdr>
            <w:top w:val="none" w:sz="0" w:space="0" w:color="auto"/>
            <w:left w:val="none" w:sz="0" w:space="0" w:color="auto"/>
            <w:bottom w:val="none" w:sz="0" w:space="0" w:color="auto"/>
            <w:right w:val="none" w:sz="0" w:space="0" w:color="auto"/>
          </w:divBdr>
        </w:div>
        <w:div w:id="249241385">
          <w:marLeft w:val="0"/>
          <w:marRight w:val="0"/>
          <w:marTop w:val="0"/>
          <w:marBottom w:val="0"/>
          <w:divBdr>
            <w:top w:val="none" w:sz="0" w:space="0" w:color="auto"/>
            <w:left w:val="none" w:sz="0" w:space="0" w:color="auto"/>
            <w:bottom w:val="none" w:sz="0" w:space="0" w:color="auto"/>
            <w:right w:val="none" w:sz="0" w:space="0" w:color="auto"/>
          </w:divBdr>
        </w:div>
        <w:div w:id="1940914254">
          <w:marLeft w:val="0"/>
          <w:marRight w:val="0"/>
          <w:marTop w:val="0"/>
          <w:marBottom w:val="0"/>
          <w:divBdr>
            <w:top w:val="none" w:sz="0" w:space="0" w:color="auto"/>
            <w:left w:val="none" w:sz="0" w:space="0" w:color="auto"/>
            <w:bottom w:val="none" w:sz="0" w:space="0" w:color="auto"/>
            <w:right w:val="none" w:sz="0" w:space="0" w:color="auto"/>
          </w:divBdr>
        </w:div>
        <w:div w:id="812327728">
          <w:marLeft w:val="0"/>
          <w:marRight w:val="0"/>
          <w:marTop w:val="0"/>
          <w:marBottom w:val="0"/>
          <w:divBdr>
            <w:top w:val="none" w:sz="0" w:space="0" w:color="auto"/>
            <w:left w:val="none" w:sz="0" w:space="0" w:color="auto"/>
            <w:bottom w:val="none" w:sz="0" w:space="0" w:color="auto"/>
            <w:right w:val="none" w:sz="0" w:space="0" w:color="auto"/>
          </w:divBdr>
        </w:div>
        <w:div w:id="2011442196">
          <w:marLeft w:val="0"/>
          <w:marRight w:val="0"/>
          <w:marTop w:val="0"/>
          <w:marBottom w:val="0"/>
          <w:divBdr>
            <w:top w:val="none" w:sz="0" w:space="0" w:color="auto"/>
            <w:left w:val="none" w:sz="0" w:space="0" w:color="auto"/>
            <w:bottom w:val="none" w:sz="0" w:space="0" w:color="auto"/>
            <w:right w:val="none" w:sz="0" w:space="0" w:color="auto"/>
          </w:divBdr>
        </w:div>
        <w:div w:id="2135326288">
          <w:marLeft w:val="0"/>
          <w:marRight w:val="0"/>
          <w:marTop w:val="0"/>
          <w:marBottom w:val="0"/>
          <w:divBdr>
            <w:top w:val="none" w:sz="0" w:space="0" w:color="auto"/>
            <w:left w:val="none" w:sz="0" w:space="0" w:color="auto"/>
            <w:bottom w:val="none" w:sz="0" w:space="0" w:color="auto"/>
            <w:right w:val="none" w:sz="0" w:space="0" w:color="auto"/>
          </w:divBdr>
        </w:div>
        <w:div w:id="1741295240">
          <w:marLeft w:val="0"/>
          <w:marRight w:val="0"/>
          <w:marTop w:val="0"/>
          <w:marBottom w:val="0"/>
          <w:divBdr>
            <w:top w:val="none" w:sz="0" w:space="0" w:color="auto"/>
            <w:left w:val="none" w:sz="0" w:space="0" w:color="auto"/>
            <w:bottom w:val="none" w:sz="0" w:space="0" w:color="auto"/>
            <w:right w:val="none" w:sz="0" w:space="0" w:color="auto"/>
          </w:divBdr>
        </w:div>
        <w:div w:id="183519374">
          <w:marLeft w:val="0"/>
          <w:marRight w:val="0"/>
          <w:marTop w:val="0"/>
          <w:marBottom w:val="0"/>
          <w:divBdr>
            <w:top w:val="none" w:sz="0" w:space="0" w:color="auto"/>
            <w:left w:val="none" w:sz="0" w:space="0" w:color="auto"/>
            <w:bottom w:val="none" w:sz="0" w:space="0" w:color="auto"/>
            <w:right w:val="none" w:sz="0" w:space="0" w:color="auto"/>
          </w:divBdr>
        </w:div>
        <w:div w:id="91439737">
          <w:marLeft w:val="0"/>
          <w:marRight w:val="0"/>
          <w:marTop w:val="0"/>
          <w:marBottom w:val="0"/>
          <w:divBdr>
            <w:top w:val="none" w:sz="0" w:space="0" w:color="auto"/>
            <w:left w:val="none" w:sz="0" w:space="0" w:color="auto"/>
            <w:bottom w:val="none" w:sz="0" w:space="0" w:color="auto"/>
            <w:right w:val="none" w:sz="0" w:space="0" w:color="auto"/>
          </w:divBdr>
        </w:div>
        <w:div w:id="865488024">
          <w:marLeft w:val="0"/>
          <w:marRight w:val="0"/>
          <w:marTop w:val="0"/>
          <w:marBottom w:val="0"/>
          <w:divBdr>
            <w:top w:val="none" w:sz="0" w:space="0" w:color="auto"/>
            <w:left w:val="none" w:sz="0" w:space="0" w:color="auto"/>
            <w:bottom w:val="none" w:sz="0" w:space="0" w:color="auto"/>
            <w:right w:val="none" w:sz="0" w:space="0" w:color="auto"/>
          </w:divBdr>
        </w:div>
        <w:div w:id="323552203">
          <w:marLeft w:val="0"/>
          <w:marRight w:val="0"/>
          <w:marTop w:val="0"/>
          <w:marBottom w:val="0"/>
          <w:divBdr>
            <w:top w:val="none" w:sz="0" w:space="0" w:color="auto"/>
            <w:left w:val="none" w:sz="0" w:space="0" w:color="auto"/>
            <w:bottom w:val="none" w:sz="0" w:space="0" w:color="auto"/>
            <w:right w:val="none" w:sz="0" w:space="0" w:color="auto"/>
          </w:divBdr>
        </w:div>
        <w:div w:id="408623701">
          <w:marLeft w:val="0"/>
          <w:marRight w:val="0"/>
          <w:marTop w:val="0"/>
          <w:marBottom w:val="0"/>
          <w:divBdr>
            <w:top w:val="none" w:sz="0" w:space="0" w:color="auto"/>
            <w:left w:val="none" w:sz="0" w:space="0" w:color="auto"/>
            <w:bottom w:val="none" w:sz="0" w:space="0" w:color="auto"/>
            <w:right w:val="none" w:sz="0" w:space="0" w:color="auto"/>
          </w:divBdr>
        </w:div>
        <w:div w:id="1188567857">
          <w:marLeft w:val="0"/>
          <w:marRight w:val="0"/>
          <w:marTop w:val="0"/>
          <w:marBottom w:val="0"/>
          <w:divBdr>
            <w:top w:val="none" w:sz="0" w:space="0" w:color="auto"/>
            <w:left w:val="none" w:sz="0" w:space="0" w:color="auto"/>
            <w:bottom w:val="none" w:sz="0" w:space="0" w:color="auto"/>
            <w:right w:val="none" w:sz="0" w:space="0" w:color="auto"/>
          </w:divBdr>
        </w:div>
        <w:div w:id="1233082922">
          <w:marLeft w:val="0"/>
          <w:marRight w:val="0"/>
          <w:marTop w:val="0"/>
          <w:marBottom w:val="0"/>
          <w:divBdr>
            <w:top w:val="none" w:sz="0" w:space="0" w:color="auto"/>
            <w:left w:val="none" w:sz="0" w:space="0" w:color="auto"/>
            <w:bottom w:val="none" w:sz="0" w:space="0" w:color="auto"/>
            <w:right w:val="none" w:sz="0" w:space="0" w:color="auto"/>
          </w:divBdr>
        </w:div>
        <w:div w:id="225385346">
          <w:marLeft w:val="0"/>
          <w:marRight w:val="0"/>
          <w:marTop w:val="0"/>
          <w:marBottom w:val="0"/>
          <w:divBdr>
            <w:top w:val="none" w:sz="0" w:space="0" w:color="auto"/>
            <w:left w:val="none" w:sz="0" w:space="0" w:color="auto"/>
            <w:bottom w:val="none" w:sz="0" w:space="0" w:color="auto"/>
            <w:right w:val="none" w:sz="0" w:space="0" w:color="auto"/>
          </w:divBdr>
        </w:div>
        <w:div w:id="1691490828">
          <w:marLeft w:val="0"/>
          <w:marRight w:val="0"/>
          <w:marTop w:val="0"/>
          <w:marBottom w:val="0"/>
          <w:divBdr>
            <w:top w:val="none" w:sz="0" w:space="0" w:color="auto"/>
            <w:left w:val="none" w:sz="0" w:space="0" w:color="auto"/>
            <w:bottom w:val="none" w:sz="0" w:space="0" w:color="auto"/>
            <w:right w:val="none" w:sz="0" w:space="0" w:color="auto"/>
          </w:divBdr>
        </w:div>
        <w:div w:id="1434325835">
          <w:marLeft w:val="0"/>
          <w:marRight w:val="0"/>
          <w:marTop w:val="0"/>
          <w:marBottom w:val="0"/>
          <w:divBdr>
            <w:top w:val="none" w:sz="0" w:space="0" w:color="auto"/>
            <w:left w:val="none" w:sz="0" w:space="0" w:color="auto"/>
            <w:bottom w:val="none" w:sz="0" w:space="0" w:color="auto"/>
            <w:right w:val="none" w:sz="0" w:space="0" w:color="auto"/>
          </w:divBdr>
        </w:div>
        <w:div w:id="1277835732">
          <w:marLeft w:val="0"/>
          <w:marRight w:val="0"/>
          <w:marTop w:val="0"/>
          <w:marBottom w:val="0"/>
          <w:divBdr>
            <w:top w:val="none" w:sz="0" w:space="0" w:color="auto"/>
            <w:left w:val="none" w:sz="0" w:space="0" w:color="auto"/>
            <w:bottom w:val="none" w:sz="0" w:space="0" w:color="auto"/>
            <w:right w:val="none" w:sz="0" w:space="0" w:color="auto"/>
          </w:divBdr>
          <w:divsChild>
            <w:div w:id="904609289">
              <w:marLeft w:val="0"/>
              <w:marRight w:val="0"/>
              <w:marTop w:val="0"/>
              <w:marBottom w:val="0"/>
              <w:divBdr>
                <w:top w:val="none" w:sz="0" w:space="0" w:color="auto"/>
                <w:left w:val="none" w:sz="0" w:space="0" w:color="auto"/>
                <w:bottom w:val="none" w:sz="0" w:space="0" w:color="auto"/>
                <w:right w:val="none" w:sz="0" w:space="0" w:color="auto"/>
              </w:divBdr>
            </w:div>
            <w:div w:id="2010593287">
              <w:marLeft w:val="0"/>
              <w:marRight w:val="0"/>
              <w:marTop w:val="0"/>
              <w:marBottom w:val="0"/>
              <w:divBdr>
                <w:top w:val="none" w:sz="0" w:space="0" w:color="auto"/>
                <w:left w:val="none" w:sz="0" w:space="0" w:color="auto"/>
                <w:bottom w:val="none" w:sz="0" w:space="0" w:color="auto"/>
                <w:right w:val="none" w:sz="0" w:space="0" w:color="auto"/>
              </w:divBdr>
            </w:div>
            <w:div w:id="1890338038">
              <w:marLeft w:val="0"/>
              <w:marRight w:val="0"/>
              <w:marTop w:val="0"/>
              <w:marBottom w:val="0"/>
              <w:divBdr>
                <w:top w:val="none" w:sz="0" w:space="0" w:color="auto"/>
                <w:left w:val="none" w:sz="0" w:space="0" w:color="auto"/>
                <w:bottom w:val="none" w:sz="0" w:space="0" w:color="auto"/>
                <w:right w:val="none" w:sz="0" w:space="0" w:color="auto"/>
              </w:divBdr>
            </w:div>
            <w:div w:id="810366226">
              <w:marLeft w:val="0"/>
              <w:marRight w:val="0"/>
              <w:marTop w:val="0"/>
              <w:marBottom w:val="0"/>
              <w:divBdr>
                <w:top w:val="none" w:sz="0" w:space="0" w:color="auto"/>
                <w:left w:val="none" w:sz="0" w:space="0" w:color="auto"/>
                <w:bottom w:val="none" w:sz="0" w:space="0" w:color="auto"/>
                <w:right w:val="none" w:sz="0" w:space="0" w:color="auto"/>
              </w:divBdr>
            </w:div>
            <w:div w:id="1785997206">
              <w:marLeft w:val="0"/>
              <w:marRight w:val="0"/>
              <w:marTop w:val="0"/>
              <w:marBottom w:val="0"/>
              <w:divBdr>
                <w:top w:val="none" w:sz="0" w:space="0" w:color="auto"/>
                <w:left w:val="none" w:sz="0" w:space="0" w:color="auto"/>
                <w:bottom w:val="none" w:sz="0" w:space="0" w:color="auto"/>
                <w:right w:val="none" w:sz="0" w:space="0" w:color="auto"/>
              </w:divBdr>
            </w:div>
          </w:divsChild>
        </w:div>
        <w:div w:id="1705517842">
          <w:marLeft w:val="0"/>
          <w:marRight w:val="0"/>
          <w:marTop w:val="0"/>
          <w:marBottom w:val="0"/>
          <w:divBdr>
            <w:top w:val="none" w:sz="0" w:space="0" w:color="auto"/>
            <w:left w:val="none" w:sz="0" w:space="0" w:color="auto"/>
            <w:bottom w:val="none" w:sz="0" w:space="0" w:color="auto"/>
            <w:right w:val="none" w:sz="0" w:space="0" w:color="auto"/>
          </w:divBdr>
          <w:divsChild>
            <w:div w:id="532890715">
              <w:marLeft w:val="0"/>
              <w:marRight w:val="0"/>
              <w:marTop w:val="0"/>
              <w:marBottom w:val="0"/>
              <w:divBdr>
                <w:top w:val="none" w:sz="0" w:space="0" w:color="auto"/>
                <w:left w:val="none" w:sz="0" w:space="0" w:color="auto"/>
                <w:bottom w:val="none" w:sz="0" w:space="0" w:color="auto"/>
                <w:right w:val="none" w:sz="0" w:space="0" w:color="auto"/>
              </w:divBdr>
            </w:div>
            <w:div w:id="1074744945">
              <w:marLeft w:val="0"/>
              <w:marRight w:val="0"/>
              <w:marTop w:val="0"/>
              <w:marBottom w:val="0"/>
              <w:divBdr>
                <w:top w:val="none" w:sz="0" w:space="0" w:color="auto"/>
                <w:left w:val="none" w:sz="0" w:space="0" w:color="auto"/>
                <w:bottom w:val="none" w:sz="0" w:space="0" w:color="auto"/>
                <w:right w:val="none" w:sz="0" w:space="0" w:color="auto"/>
              </w:divBdr>
            </w:div>
            <w:div w:id="2106920064">
              <w:marLeft w:val="0"/>
              <w:marRight w:val="0"/>
              <w:marTop w:val="0"/>
              <w:marBottom w:val="0"/>
              <w:divBdr>
                <w:top w:val="none" w:sz="0" w:space="0" w:color="auto"/>
                <w:left w:val="none" w:sz="0" w:space="0" w:color="auto"/>
                <w:bottom w:val="none" w:sz="0" w:space="0" w:color="auto"/>
                <w:right w:val="none" w:sz="0" w:space="0" w:color="auto"/>
              </w:divBdr>
            </w:div>
            <w:div w:id="93326602">
              <w:marLeft w:val="0"/>
              <w:marRight w:val="0"/>
              <w:marTop w:val="0"/>
              <w:marBottom w:val="0"/>
              <w:divBdr>
                <w:top w:val="none" w:sz="0" w:space="0" w:color="auto"/>
                <w:left w:val="none" w:sz="0" w:space="0" w:color="auto"/>
                <w:bottom w:val="none" w:sz="0" w:space="0" w:color="auto"/>
                <w:right w:val="none" w:sz="0" w:space="0" w:color="auto"/>
              </w:divBdr>
            </w:div>
            <w:div w:id="2017461277">
              <w:marLeft w:val="0"/>
              <w:marRight w:val="0"/>
              <w:marTop w:val="0"/>
              <w:marBottom w:val="0"/>
              <w:divBdr>
                <w:top w:val="none" w:sz="0" w:space="0" w:color="auto"/>
                <w:left w:val="none" w:sz="0" w:space="0" w:color="auto"/>
                <w:bottom w:val="none" w:sz="0" w:space="0" w:color="auto"/>
                <w:right w:val="none" w:sz="0" w:space="0" w:color="auto"/>
              </w:divBdr>
            </w:div>
          </w:divsChild>
        </w:div>
        <w:div w:id="1764494459">
          <w:marLeft w:val="0"/>
          <w:marRight w:val="0"/>
          <w:marTop w:val="0"/>
          <w:marBottom w:val="0"/>
          <w:divBdr>
            <w:top w:val="none" w:sz="0" w:space="0" w:color="auto"/>
            <w:left w:val="none" w:sz="0" w:space="0" w:color="auto"/>
            <w:bottom w:val="none" w:sz="0" w:space="0" w:color="auto"/>
            <w:right w:val="none" w:sz="0" w:space="0" w:color="auto"/>
          </w:divBdr>
          <w:divsChild>
            <w:div w:id="1533420061">
              <w:marLeft w:val="0"/>
              <w:marRight w:val="0"/>
              <w:marTop w:val="0"/>
              <w:marBottom w:val="0"/>
              <w:divBdr>
                <w:top w:val="none" w:sz="0" w:space="0" w:color="auto"/>
                <w:left w:val="none" w:sz="0" w:space="0" w:color="auto"/>
                <w:bottom w:val="none" w:sz="0" w:space="0" w:color="auto"/>
                <w:right w:val="none" w:sz="0" w:space="0" w:color="auto"/>
              </w:divBdr>
            </w:div>
            <w:div w:id="1570648570">
              <w:marLeft w:val="0"/>
              <w:marRight w:val="0"/>
              <w:marTop w:val="0"/>
              <w:marBottom w:val="0"/>
              <w:divBdr>
                <w:top w:val="none" w:sz="0" w:space="0" w:color="auto"/>
                <w:left w:val="none" w:sz="0" w:space="0" w:color="auto"/>
                <w:bottom w:val="none" w:sz="0" w:space="0" w:color="auto"/>
                <w:right w:val="none" w:sz="0" w:space="0" w:color="auto"/>
              </w:divBdr>
            </w:div>
            <w:div w:id="1028218737">
              <w:marLeft w:val="0"/>
              <w:marRight w:val="0"/>
              <w:marTop w:val="0"/>
              <w:marBottom w:val="0"/>
              <w:divBdr>
                <w:top w:val="none" w:sz="0" w:space="0" w:color="auto"/>
                <w:left w:val="none" w:sz="0" w:space="0" w:color="auto"/>
                <w:bottom w:val="none" w:sz="0" w:space="0" w:color="auto"/>
                <w:right w:val="none" w:sz="0" w:space="0" w:color="auto"/>
              </w:divBdr>
            </w:div>
            <w:div w:id="2143109674">
              <w:marLeft w:val="0"/>
              <w:marRight w:val="0"/>
              <w:marTop w:val="0"/>
              <w:marBottom w:val="0"/>
              <w:divBdr>
                <w:top w:val="none" w:sz="0" w:space="0" w:color="auto"/>
                <w:left w:val="none" w:sz="0" w:space="0" w:color="auto"/>
                <w:bottom w:val="none" w:sz="0" w:space="0" w:color="auto"/>
                <w:right w:val="none" w:sz="0" w:space="0" w:color="auto"/>
              </w:divBdr>
            </w:div>
            <w:div w:id="921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90dda8-6383-476e-b7d9-b2854759cb95">
      <Terms xmlns="http://schemas.microsoft.com/office/infopath/2007/PartnerControls"/>
    </lcf76f155ced4ddcb4097134ff3c332f>
    <TaxCatchAll xmlns="e7e649ec-9ab7-4ec6-ad82-1665f4f417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28FFEEE276F448E9B5B33BB5625C9" ma:contentTypeVersion="16" ma:contentTypeDescription="Create a new document." ma:contentTypeScope="" ma:versionID="b6a80ad9044539e6b61584ec194aea3f">
  <xsd:schema xmlns:xsd="http://www.w3.org/2001/XMLSchema" xmlns:xs="http://www.w3.org/2001/XMLSchema" xmlns:p="http://schemas.microsoft.com/office/2006/metadata/properties" xmlns:ns2="7190dda8-6383-476e-b7d9-b2854759cb95" xmlns:ns3="e7e649ec-9ab7-4ec6-ad82-1665f4f41745" targetNamespace="http://schemas.microsoft.com/office/2006/metadata/properties" ma:root="true" ma:fieldsID="24545c3ea67ebd6c654ffde813de74dc" ns2:_="" ns3:_="">
    <xsd:import namespace="7190dda8-6383-476e-b7d9-b2854759cb95"/>
    <xsd:import namespace="e7e649ec-9ab7-4ec6-ad82-1665f4f41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0dda8-6383-476e-b7d9-b2854759c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98de71-f6be-42b2-ab2e-42bf669b31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649ec-9ab7-4ec6-ad82-1665f4f417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d844cb-d04e-4dfc-bda4-c3d55a6b28bf}" ma:internalName="TaxCatchAll" ma:showField="CatchAllData" ma:web="e7e649ec-9ab7-4ec6-ad82-1665f4f41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A891E-3B1A-4CEB-BD65-7A0CEEFB6E6E}">
  <ds:schemaRefs>
    <ds:schemaRef ds:uri="c21412e3-cf0f-4131-91db-bbe48174afeb"/>
    <ds:schemaRef ds:uri="baebb8f7-940d-458a-a8b7-988681668807"/>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5E5E3DE-AA4E-4459-ADC0-EF288551E0F8}">
  <ds:schemaRefs>
    <ds:schemaRef ds:uri="http://schemas.microsoft.com/sharepoint/v3/contenttype/forms"/>
  </ds:schemaRefs>
</ds:datastoreItem>
</file>

<file path=customXml/itemProps3.xml><?xml version="1.0" encoding="utf-8"?>
<ds:datastoreItem xmlns:ds="http://schemas.openxmlformats.org/officeDocument/2006/customXml" ds:itemID="{76FCA811-4BF9-48D6-95D3-AE182A00AF1A}"/>
</file>

<file path=docProps/app.xml><?xml version="1.0" encoding="utf-8"?>
<Properties xmlns="http://schemas.openxmlformats.org/officeDocument/2006/extended-properties" xmlns:vt="http://schemas.openxmlformats.org/officeDocument/2006/docPropsVTypes">
  <Template>Normal</Template>
  <TotalTime>14</TotalTime>
  <Pages>6</Pages>
  <Words>1258</Words>
  <Characters>7174</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Statutory duty </vt:lpstr>
      <vt:lpstr>Roles and responsibilities</vt:lpstr>
      <vt:lpstr>Staff Development needs are identified through performance management, staff app</vt:lpstr>
      <vt:lpstr>The Careers Plan is published on the school websites and is updated frequently. </vt:lpstr>
      <vt:lpstr>Measuring the impact of CEIAG </vt:lpstr>
    </vt:vector>
  </TitlesOfParts>
  <Company>Chetwynde School</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Polley</dc:creator>
  <cp:keywords/>
  <dc:description/>
  <cp:lastModifiedBy>Stephen Jefferson</cp:lastModifiedBy>
  <cp:revision>2</cp:revision>
  <dcterms:created xsi:type="dcterms:W3CDTF">2023-01-20T16:41:00Z</dcterms:created>
  <dcterms:modified xsi:type="dcterms:W3CDTF">2023-01-22T14:25:00Z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0x010100AE428FFEEE276F448E9B5B33BB5625C9</vt:lpwstr>
  </property>
</Properties>
</file>